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693"/>
        <w:gridCol w:w="1984"/>
        <w:gridCol w:w="5058"/>
      </w:tblGrid>
      <w:tr w:rsidR="003D3A1C" w:rsidTr="00374960">
        <w:trPr>
          <w:trHeight w:val="297"/>
        </w:trPr>
        <w:tc>
          <w:tcPr>
            <w:tcW w:w="1985" w:type="dxa"/>
          </w:tcPr>
          <w:p w:rsidR="003D3A1C" w:rsidRPr="006A0153" w:rsidRDefault="003D3A1C" w:rsidP="00E47B6B">
            <w:pPr>
              <w:rPr>
                <w:b/>
              </w:rPr>
            </w:pPr>
            <w:r w:rsidRPr="006A0153">
              <w:rPr>
                <w:b/>
              </w:rPr>
              <w:t>Site:</w:t>
            </w:r>
          </w:p>
        </w:tc>
        <w:tc>
          <w:tcPr>
            <w:tcW w:w="11720" w:type="dxa"/>
            <w:gridSpan w:val="4"/>
          </w:tcPr>
          <w:p w:rsidR="003D3A1C" w:rsidRPr="0001437B" w:rsidRDefault="003D3A1C" w:rsidP="005F330E">
            <w:pPr>
              <w:rPr>
                <w:szCs w:val="20"/>
              </w:rPr>
            </w:pPr>
            <w:r w:rsidRPr="0001437B">
              <w:rPr>
                <w:szCs w:val="20"/>
              </w:rPr>
              <w:t>Woodstock</w:t>
            </w:r>
            <w:r w:rsidR="005F330E">
              <w:rPr>
                <w:szCs w:val="20"/>
              </w:rPr>
              <w:t xml:space="preserve"> East, </w:t>
            </w:r>
            <w:r w:rsidRPr="0001437B">
              <w:rPr>
                <w:szCs w:val="20"/>
              </w:rPr>
              <w:t>Oxfordshire</w:t>
            </w:r>
          </w:p>
        </w:tc>
      </w:tr>
      <w:tr w:rsidR="003D3A1C" w:rsidTr="00374960">
        <w:trPr>
          <w:trHeight w:val="874"/>
        </w:trPr>
        <w:tc>
          <w:tcPr>
            <w:tcW w:w="1985" w:type="dxa"/>
          </w:tcPr>
          <w:p w:rsidR="003D3A1C" w:rsidRPr="006A0153" w:rsidRDefault="003D3A1C" w:rsidP="00E47B6B">
            <w:pPr>
              <w:rPr>
                <w:b/>
              </w:rPr>
            </w:pPr>
            <w:r>
              <w:rPr>
                <w:b/>
              </w:rPr>
              <w:t>Planning Application No.:</w:t>
            </w:r>
          </w:p>
        </w:tc>
        <w:tc>
          <w:tcPr>
            <w:tcW w:w="11720" w:type="dxa"/>
            <w:gridSpan w:val="4"/>
          </w:tcPr>
          <w:p w:rsidR="003D3A1C" w:rsidRPr="0001437B" w:rsidRDefault="003D3A1C" w:rsidP="00E47B6B">
            <w:pPr>
              <w:rPr>
                <w:szCs w:val="20"/>
              </w:rPr>
            </w:pPr>
            <w:r w:rsidRPr="0001437B">
              <w:rPr>
                <w:szCs w:val="20"/>
              </w:rPr>
              <w:t>16/01364/OUT</w:t>
            </w:r>
          </w:p>
        </w:tc>
      </w:tr>
      <w:tr w:rsidR="003D3A1C" w:rsidTr="00374960">
        <w:trPr>
          <w:trHeight w:val="297"/>
        </w:trPr>
        <w:tc>
          <w:tcPr>
            <w:tcW w:w="1985" w:type="dxa"/>
          </w:tcPr>
          <w:p w:rsidR="003D3A1C" w:rsidRPr="006A0153" w:rsidRDefault="003D3A1C" w:rsidP="00E47B6B">
            <w:pPr>
              <w:rPr>
                <w:b/>
              </w:rPr>
            </w:pPr>
            <w:r w:rsidRPr="006A0153">
              <w:rPr>
                <w:b/>
              </w:rPr>
              <w:t>Date:</w:t>
            </w:r>
          </w:p>
        </w:tc>
        <w:tc>
          <w:tcPr>
            <w:tcW w:w="11720" w:type="dxa"/>
            <w:gridSpan w:val="4"/>
          </w:tcPr>
          <w:p w:rsidR="003D3A1C" w:rsidRPr="0001437B" w:rsidRDefault="00B068E2" w:rsidP="00E47B6B">
            <w:pPr>
              <w:rPr>
                <w:szCs w:val="20"/>
              </w:rPr>
            </w:pPr>
            <w:r>
              <w:rPr>
                <w:szCs w:val="20"/>
              </w:rPr>
              <w:t>18 May 2018</w:t>
            </w:r>
          </w:p>
        </w:tc>
      </w:tr>
      <w:tr w:rsidR="003D3A1C" w:rsidTr="00374960">
        <w:trPr>
          <w:trHeight w:val="874"/>
        </w:trPr>
        <w:tc>
          <w:tcPr>
            <w:tcW w:w="1985" w:type="dxa"/>
          </w:tcPr>
          <w:p w:rsidR="003D3A1C" w:rsidRDefault="003D3A1C" w:rsidP="00E47B6B">
            <w:pPr>
              <w:rPr>
                <w:b/>
              </w:rPr>
            </w:pPr>
            <w:r w:rsidRPr="006A0153">
              <w:rPr>
                <w:b/>
              </w:rPr>
              <w:t>Parties:</w:t>
            </w:r>
          </w:p>
          <w:p w:rsidR="003D3A1C" w:rsidRPr="006A0153" w:rsidRDefault="003D3A1C" w:rsidP="00E47B6B">
            <w:pPr>
              <w:rPr>
                <w:b/>
              </w:rPr>
            </w:pPr>
          </w:p>
        </w:tc>
        <w:tc>
          <w:tcPr>
            <w:tcW w:w="11720" w:type="dxa"/>
            <w:gridSpan w:val="4"/>
          </w:tcPr>
          <w:p w:rsidR="00B50589" w:rsidRPr="0001437B" w:rsidRDefault="00B50589" w:rsidP="00E47B6B">
            <w:pPr>
              <w:pStyle w:val="ListParagraph"/>
              <w:numPr>
                <w:ilvl w:val="0"/>
                <w:numId w:val="2"/>
              </w:numPr>
              <w:jc w:val="left"/>
              <w:rPr>
                <w:szCs w:val="20"/>
              </w:rPr>
            </w:pPr>
            <w:r w:rsidRPr="0001437B">
              <w:rPr>
                <w:szCs w:val="20"/>
              </w:rPr>
              <w:t>The Oxfordshire County Council</w:t>
            </w:r>
            <w:r w:rsidR="00D97C06">
              <w:rPr>
                <w:szCs w:val="20"/>
              </w:rPr>
              <w:t xml:space="preserve"> ( the Council)</w:t>
            </w:r>
          </w:p>
          <w:p w:rsidR="00B50589" w:rsidRPr="0001437B" w:rsidRDefault="00B50589" w:rsidP="00E47B6B">
            <w:pPr>
              <w:pStyle w:val="ListParagraph"/>
              <w:numPr>
                <w:ilvl w:val="0"/>
                <w:numId w:val="2"/>
              </w:numPr>
              <w:jc w:val="left"/>
              <w:rPr>
                <w:szCs w:val="20"/>
              </w:rPr>
            </w:pPr>
            <w:r w:rsidRPr="0001437B">
              <w:rPr>
                <w:szCs w:val="20"/>
              </w:rPr>
              <w:t>The Sunderland Foundation</w:t>
            </w:r>
            <w:r w:rsidR="00D97C06">
              <w:rPr>
                <w:szCs w:val="20"/>
              </w:rPr>
              <w:t xml:space="preserve"> ( the Owner)</w:t>
            </w:r>
          </w:p>
          <w:p w:rsidR="003D3A1C" w:rsidRPr="0001437B" w:rsidRDefault="00B50589" w:rsidP="00E47B6B">
            <w:pPr>
              <w:pStyle w:val="ListParagraph"/>
              <w:numPr>
                <w:ilvl w:val="0"/>
                <w:numId w:val="2"/>
              </w:numPr>
              <w:jc w:val="left"/>
              <w:rPr>
                <w:szCs w:val="20"/>
              </w:rPr>
            </w:pPr>
            <w:r w:rsidRPr="0001437B">
              <w:rPr>
                <w:szCs w:val="20"/>
              </w:rPr>
              <w:t>J A Pye (Oxford) Limited</w:t>
            </w:r>
            <w:r w:rsidR="005F330E">
              <w:rPr>
                <w:szCs w:val="20"/>
              </w:rPr>
              <w:t xml:space="preserve"> </w:t>
            </w:r>
            <w:r w:rsidR="00D97C06">
              <w:rPr>
                <w:szCs w:val="20"/>
              </w:rPr>
              <w:t>(the Developer)</w:t>
            </w:r>
          </w:p>
        </w:tc>
      </w:tr>
      <w:tr w:rsidR="009C3E02" w:rsidTr="00374960">
        <w:trPr>
          <w:trHeight w:val="595"/>
        </w:trPr>
        <w:tc>
          <w:tcPr>
            <w:tcW w:w="1985" w:type="dxa"/>
            <w:shd w:val="clear" w:color="auto" w:fill="D9D9D9" w:themeFill="background1" w:themeFillShade="D9"/>
          </w:tcPr>
          <w:p w:rsidR="003D3A1C" w:rsidRDefault="003D3A1C" w:rsidP="00E47B6B">
            <w:pPr>
              <w:rPr>
                <w:b/>
              </w:rPr>
            </w:pPr>
            <w:r w:rsidRPr="006052EE">
              <w:rPr>
                <w:b/>
              </w:rPr>
              <w:t>Contributions</w:t>
            </w:r>
            <w:r>
              <w:rPr>
                <w:b/>
              </w:rPr>
              <w:t xml:space="preserve"> </w:t>
            </w:r>
          </w:p>
          <w:p w:rsidR="003D3A1C" w:rsidRPr="006052EE" w:rsidRDefault="003D3A1C" w:rsidP="00E47B6B">
            <w:pPr>
              <w:rPr>
                <w:b/>
              </w:rPr>
            </w:pPr>
          </w:p>
        </w:tc>
        <w:tc>
          <w:tcPr>
            <w:tcW w:w="1985" w:type="dxa"/>
            <w:shd w:val="clear" w:color="auto" w:fill="D9D9D9" w:themeFill="background1" w:themeFillShade="D9"/>
          </w:tcPr>
          <w:p w:rsidR="003D3A1C" w:rsidRPr="0001437B" w:rsidRDefault="003D3A1C" w:rsidP="00E47B6B">
            <w:pPr>
              <w:rPr>
                <w:b/>
              </w:rPr>
            </w:pPr>
            <w:r w:rsidRPr="0001437B">
              <w:rPr>
                <w:b/>
              </w:rPr>
              <w:t>Amount</w:t>
            </w:r>
          </w:p>
        </w:tc>
        <w:tc>
          <w:tcPr>
            <w:tcW w:w="2693" w:type="dxa"/>
            <w:shd w:val="clear" w:color="auto" w:fill="D9D9D9" w:themeFill="background1" w:themeFillShade="D9"/>
          </w:tcPr>
          <w:p w:rsidR="003D3A1C" w:rsidRPr="0001437B" w:rsidRDefault="003D3A1C" w:rsidP="00E47B6B">
            <w:pPr>
              <w:rPr>
                <w:b/>
              </w:rPr>
            </w:pPr>
            <w:r w:rsidRPr="0001437B">
              <w:rPr>
                <w:b/>
              </w:rPr>
              <w:t>Index</w:t>
            </w:r>
          </w:p>
        </w:tc>
        <w:tc>
          <w:tcPr>
            <w:tcW w:w="1984" w:type="dxa"/>
            <w:shd w:val="clear" w:color="auto" w:fill="D9D9D9" w:themeFill="background1" w:themeFillShade="D9"/>
          </w:tcPr>
          <w:p w:rsidR="003D3A1C" w:rsidRPr="0001437B" w:rsidRDefault="003D3A1C" w:rsidP="00E47B6B">
            <w:pPr>
              <w:rPr>
                <w:b/>
              </w:rPr>
            </w:pPr>
            <w:r w:rsidRPr="0001437B">
              <w:rPr>
                <w:b/>
              </w:rPr>
              <w:t>Trigger</w:t>
            </w:r>
          </w:p>
        </w:tc>
        <w:tc>
          <w:tcPr>
            <w:tcW w:w="5058" w:type="dxa"/>
            <w:shd w:val="clear" w:color="auto" w:fill="D9D9D9" w:themeFill="background1" w:themeFillShade="D9"/>
          </w:tcPr>
          <w:p w:rsidR="003D3A1C" w:rsidRPr="0001437B" w:rsidRDefault="003D3A1C" w:rsidP="00E47B6B">
            <w:pPr>
              <w:rPr>
                <w:b/>
              </w:rPr>
            </w:pPr>
            <w:r w:rsidRPr="0001437B">
              <w:rPr>
                <w:b/>
              </w:rPr>
              <w:t>Purpose</w:t>
            </w:r>
          </w:p>
        </w:tc>
      </w:tr>
      <w:tr w:rsidR="00CA6AFA" w:rsidRPr="000D7A92" w:rsidTr="00374960">
        <w:trPr>
          <w:trHeight w:val="2383"/>
        </w:trPr>
        <w:tc>
          <w:tcPr>
            <w:tcW w:w="1985" w:type="dxa"/>
          </w:tcPr>
          <w:p w:rsidR="003D3A1C" w:rsidRPr="006A0153" w:rsidRDefault="0052045C" w:rsidP="00E47B6B">
            <w:pPr>
              <w:rPr>
                <w:b/>
              </w:rPr>
            </w:pPr>
            <w:r>
              <w:rPr>
                <w:b/>
              </w:rPr>
              <w:t xml:space="preserve">Bus Infrastructure Contribution </w:t>
            </w:r>
          </w:p>
        </w:tc>
        <w:tc>
          <w:tcPr>
            <w:tcW w:w="1985" w:type="dxa"/>
          </w:tcPr>
          <w:p w:rsidR="003D3A1C" w:rsidRPr="0001437B" w:rsidRDefault="003B6E52" w:rsidP="00E47B6B">
            <w:r w:rsidRPr="0001437B">
              <w:t>£41,730.00</w:t>
            </w:r>
          </w:p>
        </w:tc>
        <w:tc>
          <w:tcPr>
            <w:tcW w:w="2693" w:type="dxa"/>
          </w:tcPr>
          <w:p w:rsidR="003D3A1C" w:rsidRPr="0001437B" w:rsidRDefault="00790606" w:rsidP="00E47B6B">
            <w:r w:rsidRPr="0001437B">
              <w:t xml:space="preserve">BCIS Price Adjustment Formulae (Civil Engerining) </w:t>
            </w:r>
          </w:p>
          <w:p w:rsidR="00790606" w:rsidRPr="0001437B" w:rsidRDefault="00790606" w:rsidP="00E47B6B">
            <w:r w:rsidRPr="0001437B">
              <w:t>April 2016</w:t>
            </w:r>
          </w:p>
        </w:tc>
        <w:tc>
          <w:tcPr>
            <w:tcW w:w="1984" w:type="dxa"/>
          </w:tcPr>
          <w:p w:rsidR="003D3A1C" w:rsidRPr="0001437B" w:rsidRDefault="00CA6AFA" w:rsidP="00E47B6B">
            <w:r w:rsidRPr="0001437B">
              <w:t xml:space="preserve">Commencement </w:t>
            </w:r>
          </w:p>
        </w:tc>
        <w:tc>
          <w:tcPr>
            <w:tcW w:w="5058" w:type="dxa"/>
          </w:tcPr>
          <w:p w:rsidR="003D3A1C" w:rsidRPr="0001437B" w:rsidRDefault="003B6E52" w:rsidP="00E47B6B">
            <w:pPr>
              <w:rPr>
                <w:szCs w:val="20"/>
              </w:rPr>
            </w:pPr>
            <w:r w:rsidRPr="0001437B">
              <w:rPr>
                <w:rFonts w:cs="Arial"/>
                <w:szCs w:val="20"/>
              </w:rPr>
              <w:t>Towards bus stop infrastructure for two bus stops on the A44 in the vicinity of the Site including bus shelters, flags, poles and information cases and toward the installation of real time information displays and the future maintenance of the infrastructure.</w:t>
            </w:r>
          </w:p>
        </w:tc>
      </w:tr>
      <w:tr w:rsidR="00CA6AFA" w:rsidRPr="000D7A92" w:rsidTr="00374960">
        <w:trPr>
          <w:trHeight w:val="893"/>
        </w:trPr>
        <w:tc>
          <w:tcPr>
            <w:tcW w:w="1985" w:type="dxa"/>
          </w:tcPr>
          <w:p w:rsidR="003D3A1C" w:rsidRPr="006A0153" w:rsidRDefault="0052045C" w:rsidP="00E47B6B">
            <w:pPr>
              <w:rPr>
                <w:b/>
              </w:rPr>
            </w:pPr>
            <w:r>
              <w:rPr>
                <w:b/>
              </w:rPr>
              <w:t xml:space="preserve">Bus Service Contribution </w:t>
            </w:r>
          </w:p>
        </w:tc>
        <w:tc>
          <w:tcPr>
            <w:tcW w:w="1985" w:type="dxa"/>
          </w:tcPr>
          <w:p w:rsidR="003D3A1C" w:rsidRPr="0001437B" w:rsidRDefault="003B6E52" w:rsidP="00E47B6B">
            <w:r w:rsidRPr="0001437B">
              <w:t>£300,000.00</w:t>
            </w:r>
          </w:p>
        </w:tc>
        <w:tc>
          <w:tcPr>
            <w:tcW w:w="2693" w:type="dxa"/>
          </w:tcPr>
          <w:p w:rsidR="003D3A1C" w:rsidRPr="0001437B" w:rsidRDefault="000D7A92" w:rsidP="00E47B6B">
            <w:r w:rsidRPr="0001437B">
              <w:t>RPIX</w:t>
            </w:r>
          </w:p>
          <w:p w:rsidR="00790606" w:rsidRPr="0001437B" w:rsidRDefault="00790606" w:rsidP="00E47B6B">
            <w:r w:rsidRPr="0001437B">
              <w:t>April 2016</w:t>
            </w:r>
          </w:p>
        </w:tc>
        <w:tc>
          <w:tcPr>
            <w:tcW w:w="1984" w:type="dxa"/>
          </w:tcPr>
          <w:p w:rsidR="003D3A1C" w:rsidRPr="0001437B" w:rsidRDefault="003E5D85" w:rsidP="00EC6195">
            <w:r w:rsidRPr="0001437B">
              <w:t>Prior to occupation of 25</w:t>
            </w:r>
            <w:r w:rsidRPr="0001437B">
              <w:rPr>
                <w:vertAlign w:val="superscript"/>
              </w:rPr>
              <w:t>th</w:t>
            </w:r>
            <w:r w:rsidRPr="0001437B">
              <w:t xml:space="preserve"> Dwelling</w:t>
            </w:r>
          </w:p>
        </w:tc>
        <w:tc>
          <w:tcPr>
            <w:tcW w:w="5058" w:type="dxa"/>
          </w:tcPr>
          <w:p w:rsidR="003D3A1C" w:rsidRPr="0001437B" w:rsidRDefault="003B6E52" w:rsidP="00E47B6B">
            <w:r w:rsidRPr="0001437B">
              <w:t>Towards the improvement of bus service provision improving frequency and hours of operation</w:t>
            </w:r>
            <w:r w:rsidR="00B068E2">
              <w:t xml:space="preserve"> between Witney, Woodstock and Oxford Parkway</w:t>
            </w:r>
            <w:r w:rsidRPr="0001437B">
              <w:t xml:space="preserve">. </w:t>
            </w:r>
          </w:p>
        </w:tc>
      </w:tr>
      <w:tr w:rsidR="009C3E02" w:rsidRPr="000D7A92" w:rsidTr="00374960">
        <w:trPr>
          <w:trHeight w:val="1470"/>
        </w:trPr>
        <w:tc>
          <w:tcPr>
            <w:tcW w:w="1985" w:type="dxa"/>
            <w:shd w:val="clear" w:color="auto" w:fill="FFFFFF" w:themeFill="background1"/>
          </w:tcPr>
          <w:p w:rsidR="003D3A1C" w:rsidRDefault="0052045C" w:rsidP="00E47B6B">
            <w:pPr>
              <w:rPr>
                <w:b/>
              </w:rPr>
            </w:pPr>
            <w:r>
              <w:rPr>
                <w:b/>
              </w:rPr>
              <w:t xml:space="preserve">MUGA Contribution </w:t>
            </w:r>
          </w:p>
        </w:tc>
        <w:tc>
          <w:tcPr>
            <w:tcW w:w="1985" w:type="dxa"/>
            <w:shd w:val="clear" w:color="auto" w:fill="FFFFFF" w:themeFill="background1"/>
          </w:tcPr>
          <w:p w:rsidR="003D3A1C" w:rsidRPr="0001437B" w:rsidRDefault="003B6E52" w:rsidP="00E47B6B">
            <w:r w:rsidRPr="0001437B">
              <w:t>£221,125.00</w:t>
            </w:r>
          </w:p>
        </w:tc>
        <w:tc>
          <w:tcPr>
            <w:tcW w:w="2693" w:type="dxa"/>
            <w:shd w:val="clear" w:color="auto" w:fill="FFFFFF" w:themeFill="background1"/>
          </w:tcPr>
          <w:p w:rsidR="003D3A1C" w:rsidRPr="0001437B" w:rsidRDefault="009C3E02" w:rsidP="00E47B6B">
            <w:r w:rsidRPr="0001437B">
              <w:t>BCIS PUBSEC</w:t>
            </w:r>
          </w:p>
          <w:p w:rsidR="00790606" w:rsidRPr="0001437B" w:rsidRDefault="00790606" w:rsidP="00E47B6B">
            <w:r w:rsidRPr="0001437B">
              <w:t>(Q 2 2017)</w:t>
            </w:r>
          </w:p>
        </w:tc>
        <w:tc>
          <w:tcPr>
            <w:tcW w:w="1984" w:type="dxa"/>
            <w:shd w:val="clear" w:color="auto" w:fill="FFFFFF" w:themeFill="background1"/>
          </w:tcPr>
          <w:p w:rsidR="003D3A1C" w:rsidRPr="0001437B" w:rsidRDefault="003E5D85" w:rsidP="00E47B6B">
            <w:r w:rsidRPr="0001437B">
              <w:t xml:space="preserve">Prior to first occupation </w:t>
            </w:r>
          </w:p>
        </w:tc>
        <w:tc>
          <w:tcPr>
            <w:tcW w:w="5058" w:type="dxa"/>
            <w:shd w:val="clear" w:color="auto" w:fill="FFFFFF" w:themeFill="background1"/>
          </w:tcPr>
          <w:p w:rsidR="003D3A1C" w:rsidRPr="0001437B" w:rsidRDefault="003B6E52" w:rsidP="00E47B6B">
            <w:r w:rsidRPr="0001437B">
              <w:t xml:space="preserve">Towards the construction installation and maintenance of a sports facility for use by Woodstock Primary School and the local community. </w:t>
            </w:r>
          </w:p>
        </w:tc>
      </w:tr>
      <w:tr w:rsidR="003E5D85" w:rsidRPr="000D7A92" w:rsidTr="00374960">
        <w:trPr>
          <w:trHeight w:val="416"/>
        </w:trPr>
        <w:tc>
          <w:tcPr>
            <w:tcW w:w="1985" w:type="dxa"/>
            <w:shd w:val="clear" w:color="auto" w:fill="FFFFFF" w:themeFill="background1"/>
          </w:tcPr>
          <w:p w:rsidR="0052045C" w:rsidRDefault="0052045C" w:rsidP="00E47B6B">
            <w:pPr>
              <w:rPr>
                <w:b/>
              </w:rPr>
            </w:pPr>
            <w:r>
              <w:rPr>
                <w:b/>
              </w:rPr>
              <w:t>Primary Education Contribution</w:t>
            </w:r>
            <w:r w:rsidR="003B41EB">
              <w:rPr>
                <w:b/>
              </w:rPr>
              <w:t>*</w:t>
            </w:r>
          </w:p>
        </w:tc>
        <w:tc>
          <w:tcPr>
            <w:tcW w:w="1985" w:type="dxa"/>
            <w:shd w:val="clear" w:color="auto" w:fill="FFFFFF" w:themeFill="background1"/>
          </w:tcPr>
          <w:p w:rsidR="0052045C" w:rsidRDefault="00203CBB" w:rsidP="00E47B6B">
            <w:r w:rsidRPr="0001437B">
              <w:t>£1,681,115.00</w:t>
            </w:r>
          </w:p>
          <w:p w:rsidR="003B41EB" w:rsidRDefault="00B068E2" w:rsidP="00E47B6B">
            <w:r>
              <w:t>Payable</w:t>
            </w:r>
            <w:r w:rsidR="003B41EB">
              <w:t xml:space="preserve"> </w:t>
            </w:r>
            <w:r>
              <w:t>in</w:t>
            </w:r>
            <w:r w:rsidR="003B41EB">
              <w:t xml:space="preserve"> 2 </w:t>
            </w:r>
            <w:r>
              <w:t>instalments:</w:t>
            </w:r>
          </w:p>
          <w:p w:rsidR="00B068E2" w:rsidRDefault="003B41EB" w:rsidP="00E47B6B">
            <w:r>
              <w:t xml:space="preserve">1. £840,558; and </w:t>
            </w:r>
          </w:p>
          <w:p w:rsidR="003B41EB" w:rsidRPr="0001437B" w:rsidRDefault="003B41EB" w:rsidP="00E47B6B">
            <w:r>
              <w:lastRenderedPageBreak/>
              <w:t>2. £840,557</w:t>
            </w:r>
          </w:p>
        </w:tc>
        <w:tc>
          <w:tcPr>
            <w:tcW w:w="2693" w:type="dxa"/>
            <w:shd w:val="clear" w:color="auto" w:fill="FFFFFF" w:themeFill="background1"/>
          </w:tcPr>
          <w:p w:rsidR="0052045C" w:rsidRPr="0001437B" w:rsidRDefault="009C3E02" w:rsidP="00E47B6B">
            <w:r w:rsidRPr="0001437B">
              <w:lastRenderedPageBreak/>
              <w:t>BCIS PUBSEC</w:t>
            </w:r>
          </w:p>
          <w:p w:rsidR="00790606" w:rsidRPr="0001437B" w:rsidRDefault="00790606" w:rsidP="00E47B6B">
            <w:r w:rsidRPr="0001437B">
              <w:t>(Q 4 2014)</w:t>
            </w:r>
          </w:p>
        </w:tc>
        <w:tc>
          <w:tcPr>
            <w:tcW w:w="1984" w:type="dxa"/>
            <w:shd w:val="clear" w:color="auto" w:fill="FFFFFF" w:themeFill="background1"/>
          </w:tcPr>
          <w:p w:rsidR="0052045C" w:rsidRDefault="003B41EB" w:rsidP="00E47B6B">
            <w:r>
              <w:t xml:space="preserve">Instalment 1: </w:t>
            </w:r>
            <w:r w:rsidR="003E5D85" w:rsidRPr="0001437B">
              <w:t>Commencement</w:t>
            </w:r>
          </w:p>
          <w:p w:rsidR="003B41EB" w:rsidRDefault="003B41EB" w:rsidP="00E47B6B"/>
          <w:p w:rsidR="003B41EB" w:rsidRPr="0001437B" w:rsidRDefault="003B41EB" w:rsidP="00E47B6B">
            <w:pPr>
              <w:rPr>
                <w:b/>
              </w:rPr>
            </w:pPr>
            <w:r>
              <w:t>Instalment 2</w:t>
            </w:r>
            <w:r>
              <w:t>:</w:t>
            </w:r>
            <w:r w:rsidR="00A96650">
              <w:t xml:space="preserve"> First </w:t>
            </w:r>
            <w:r w:rsidR="00A96650">
              <w:lastRenderedPageBreak/>
              <w:t>Occupation</w:t>
            </w:r>
          </w:p>
        </w:tc>
        <w:tc>
          <w:tcPr>
            <w:tcW w:w="5058" w:type="dxa"/>
            <w:shd w:val="clear" w:color="auto" w:fill="FFFFFF" w:themeFill="background1"/>
          </w:tcPr>
          <w:p w:rsidR="0052045C" w:rsidRPr="0001437B" w:rsidRDefault="00203CBB" w:rsidP="00E47B6B">
            <w:r w:rsidRPr="0001437B">
              <w:lastRenderedPageBreak/>
              <w:t xml:space="preserve">Towards the expansion of Woodstock CE Primary School. </w:t>
            </w:r>
          </w:p>
        </w:tc>
      </w:tr>
      <w:tr w:rsidR="00A96650" w:rsidRPr="000D7A92" w:rsidTr="00374960">
        <w:trPr>
          <w:trHeight w:val="893"/>
        </w:trPr>
        <w:tc>
          <w:tcPr>
            <w:tcW w:w="1985" w:type="dxa"/>
            <w:shd w:val="clear" w:color="auto" w:fill="FFFFFF" w:themeFill="background1"/>
          </w:tcPr>
          <w:p w:rsidR="00A96650" w:rsidRDefault="00A96650" w:rsidP="00A96650">
            <w:pPr>
              <w:rPr>
                <w:b/>
              </w:rPr>
            </w:pPr>
            <w:r>
              <w:rPr>
                <w:b/>
              </w:rPr>
              <w:t xml:space="preserve">Secondary Education Contribution* </w:t>
            </w:r>
          </w:p>
        </w:tc>
        <w:tc>
          <w:tcPr>
            <w:tcW w:w="1985" w:type="dxa"/>
            <w:shd w:val="clear" w:color="auto" w:fill="FFFFFF" w:themeFill="background1"/>
          </w:tcPr>
          <w:p w:rsidR="00A96650" w:rsidRDefault="00A96650" w:rsidP="00A96650">
            <w:r w:rsidRPr="0001437B">
              <w:t>£1,248,935.00</w:t>
            </w:r>
          </w:p>
          <w:p w:rsidR="00A96650" w:rsidRDefault="00A96650" w:rsidP="00A96650">
            <w:r>
              <w:t>Payable in 2 instalments:</w:t>
            </w:r>
          </w:p>
          <w:p w:rsidR="00A96650" w:rsidRDefault="00A96650" w:rsidP="00A96650">
            <w:r>
              <w:t>1. £</w:t>
            </w:r>
            <w:r>
              <w:t>624,467;</w:t>
            </w:r>
            <w:r>
              <w:t xml:space="preserve"> and </w:t>
            </w:r>
          </w:p>
          <w:p w:rsidR="00A96650" w:rsidRPr="0001437B" w:rsidRDefault="00A96650" w:rsidP="00A96650">
            <w:r>
              <w:t>2. £624,468.</w:t>
            </w:r>
          </w:p>
        </w:tc>
        <w:tc>
          <w:tcPr>
            <w:tcW w:w="2693" w:type="dxa"/>
            <w:shd w:val="clear" w:color="auto" w:fill="FFFFFF" w:themeFill="background1"/>
          </w:tcPr>
          <w:p w:rsidR="00A96650" w:rsidRPr="0001437B" w:rsidRDefault="00A96650" w:rsidP="00A96650">
            <w:r w:rsidRPr="0001437B">
              <w:t>BCIS PUBSEC</w:t>
            </w:r>
          </w:p>
          <w:p w:rsidR="00A96650" w:rsidRPr="0001437B" w:rsidRDefault="00A96650" w:rsidP="00A96650">
            <w:r w:rsidRPr="0001437B">
              <w:t>(Q 4 2014)</w:t>
            </w:r>
          </w:p>
        </w:tc>
        <w:tc>
          <w:tcPr>
            <w:tcW w:w="1984" w:type="dxa"/>
            <w:shd w:val="clear" w:color="auto" w:fill="FFFFFF" w:themeFill="background1"/>
          </w:tcPr>
          <w:p w:rsidR="00A96650" w:rsidRDefault="00A96650" w:rsidP="00A96650">
            <w:r>
              <w:t>Instalment 1:</w:t>
            </w:r>
            <w:r w:rsidR="005F330E">
              <w:t xml:space="preserve"> </w:t>
            </w:r>
            <w:r>
              <w:t>prior to</w:t>
            </w:r>
            <w:r w:rsidR="005F330E">
              <w:t xml:space="preserve"> </w:t>
            </w:r>
            <w:r w:rsidR="00B21E99">
              <w:t xml:space="preserve">Occupation of </w:t>
            </w:r>
            <w:r>
              <w:t>75</w:t>
            </w:r>
            <w:r w:rsidRPr="00A96650">
              <w:rPr>
                <w:vertAlign w:val="superscript"/>
              </w:rPr>
              <w:t>th</w:t>
            </w:r>
            <w:r>
              <w:t xml:space="preserve"> Dwelling</w:t>
            </w:r>
          </w:p>
          <w:p w:rsidR="00A96650" w:rsidRDefault="00A96650" w:rsidP="00A96650"/>
          <w:p w:rsidR="00A96650" w:rsidRPr="0001437B" w:rsidRDefault="00A96650" w:rsidP="00B21E99">
            <w:pPr>
              <w:rPr>
                <w:b/>
              </w:rPr>
            </w:pPr>
            <w:r>
              <w:t>Instalment 2:</w:t>
            </w:r>
            <w:r w:rsidR="005F330E">
              <w:t xml:space="preserve"> </w:t>
            </w:r>
            <w:r w:rsidR="00B21E99">
              <w:t xml:space="preserve"> prior to Occupation of</w:t>
            </w:r>
            <w:r>
              <w:t xml:space="preserve"> 150</w:t>
            </w:r>
            <w:r w:rsidRPr="00A96650">
              <w:rPr>
                <w:vertAlign w:val="superscript"/>
              </w:rPr>
              <w:t>th</w:t>
            </w:r>
            <w:r>
              <w:t xml:space="preserve"> Dwelling</w:t>
            </w:r>
          </w:p>
        </w:tc>
        <w:tc>
          <w:tcPr>
            <w:tcW w:w="5058" w:type="dxa"/>
            <w:shd w:val="clear" w:color="auto" w:fill="FFFFFF" w:themeFill="background1"/>
          </w:tcPr>
          <w:p w:rsidR="00A96650" w:rsidRPr="0001437B" w:rsidRDefault="00A96650" w:rsidP="00A96650">
            <w:r w:rsidRPr="0001437B">
              <w:t>Towards the expansion of secondary education facilities at Marlborough CE School.</w:t>
            </w:r>
          </w:p>
        </w:tc>
      </w:tr>
      <w:tr w:rsidR="003E5D85" w:rsidRPr="000D7A92" w:rsidTr="00374960">
        <w:trPr>
          <w:trHeight w:val="874"/>
        </w:trPr>
        <w:tc>
          <w:tcPr>
            <w:tcW w:w="1985" w:type="dxa"/>
            <w:tcBorders>
              <w:bottom w:val="single" w:sz="4" w:space="0" w:color="auto"/>
            </w:tcBorders>
            <w:shd w:val="clear" w:color="auto" w:fill="FFFFFF" w:themeFill="background1"/>
          </w:tcPr>
          <w:p w:rsidR="0052045C" w:rsidRDefault="0052045C" w:rsidP="00E47B6B">
            <w:pPr>
              <w:rPr>
                <w:b/>
              </w:rPr>
            </w:pPr>
            <w:r>
              <w:rPr>
                <w:b/>
              </w:rPr>
              <w:t>Temporary Transport Contribution</w:t>
            </w:r>
          </w:p>
        </w:tc>
        <w:tc>
          <w:tcPr>
            <w:tcW w:w="1985" w:type="dxa"/>
            <w:tcBorders>
              <w:bottom w:val="single" w:sz="4" w:space="0" w:color="auto"/>
            </w:tcBorders>
            <w:shd w:val="clear" w:color="auto" w:fill="FFFFFF" w:themeFill="background1"/>
          </w:tcPr>
          <w:p w:rsidR="0052045C" w:rsidRPr="0001437B" w:rsidRDefault="00203CBB" w:rsidP="00E47B6B">
            <w:r w:rsidRPr="0001437B">
              <w:t>£38,000</w:t>
            </w:r>
          </w:p>
        </w:tc>
        <w:tc>
          <w:tcPr>
            <w:tcW w:w="2693" w:type="dxa"/>
            <w:tcBorders>
              <w:bottom w:val="single" w:sz="4" w:space="0" w:color="auto"/>
            </w:tcBorders>
            <w:shd w:val="clear" w:color="auto" w:fill="FFFFFF" w:themeFill="background1"/>
          </w:tcPr>
          <w:p w:rsidR="0052045C" w:rsidRPr="0001437B" w:rsidRDefault="000D7A92" w:rsidP="00E47B6B">
            <w:r w:rsidRPr="0001437B">
              <w:t>RPIX</w:t>
            </w:r>
          </w:p>
          <w:p w:rsidR="00790606" w:rsidRPr="0001437B" w:rsidRDefault="00790606" w:rsidP="00E47B6B">
            <w:r w:rsidRPr="0001437B">
              <w:t>April 2016</w:t>
            </w:r>
          </w:p>
        </w:tc>
        <w:tc>
          <w:tcPr>
            <w:tcW w:w="1984" w:type="dxa"/>
            <w:tcBorders>
              <w:bottom w:val="single" w:sz="4" w:space="0" w:color="auto"/>
            </w:tcBorders>
            <w:shd w:val="clear" w:color="auto" w:fill="FFFFFF" w:themeFill="background1"/>
          </w:tcPr>
          <w:p w:rsidR="0052045C" w:rsidRPr="00A96650" w:rsidRDefault="00A96650" w:rsidP="00A35382">
            <w:r>
              <w:t xml:space="preserve">From </w:t>
            </w:r>
            <w:r w:rsidR="00A35382" w:rsidRPr="00A96650">
              <w:t>first Occupation, every school year (or pro rata as applicable) until the school</w:t>
            </w:r>
            <w:r w:rsidRPr="00A96650">
              <w:t xml:space="preserve"> Primary School</w:t>
            </w:r>
            <w:r w:rsidR="00A35382" w:rsidRPr="00A96650">
              <w:t xml:space="preserve"> has expanded</w:t>
            </w:r>
            <w:r w:rsidR="005F330E">
              <w:t xml:space="preserve"> </w:t>
            </w:r>
            <w:r w:rsidRPr="00A96650">
              <w:t>or 7 years has passed</w:t>
            </w:r>
          </w:p>
        </w:tc>
        <w:tc>
          <w:tcPr>
            <w:tcW w:w="5058" w:type="dxa"/>
            <w:tcBorders>
              <w:bottom w:val="single" w:sz="4" w:space="0" w:color="auto"/>
            </w:tcBorders>
            <w:shd w:val="clear" w:color="auto" w:fill="FFFFFF" w:themeFill="background1"/>
          </w:tcPr>
          <w:p w:rsidR="0052045C" w:rsidRPr="0001437B" w:rsidRDefault="00203CBB" w:rsidP="00E47B6B">
            <w:r w:rsidRPr="0001437B">
              <w:t>Transporting children from the Site to the</w:t>
            </w:r>
            <w:r w:rsidR="003B41EB">
              <w:t xml:space="preserve"> other</w:t>
            </w:r>
            <w:r w:rsidRPr="0001437B">
              <w:t xml:space="preserve"> primary education facilities</w:t>
            </w:r>
            <w:r w:rsidR="003B41EB">
              <w:t xml:space="preserve"> prior to the opening of </w:t>
            </w:r>
            <w:r w:rsidR="00A35382">
              <w:t>the expansion</w:t>
            </w:r>
            <w:r w:rsidR="005F330E">
              <w:t xml:space="preserve"> </w:t>
            </w:r>
            <w:r w:rsidR="003B41EB">
              <w:t>to Woodstock Primary School</w:t>
            </w:r>
            <w:r w:rsidR="00A35382">
              <w:t>.</w:t>
            </w:r>
          </w:p>
        </w:tc>
      </w:tr>
      <w:tr w:rsidR="003E5D85" w:rsidRPr="000D7A92" w:rsidTr="00374960">
        <w:trPr>
          <w:trHeight w:val="103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A6AFA" w:rsidRDefault="0052045C" w:rsidP="00E47B6B">
            <w:pPr>
              <w:rPr>
                <w:b/>
              </w:rPr>
            </w:pPr>
            <w:r>
              <w:rPr>
                <w:b/>
              </w:rPr>
              <w:t xml:space="preserve">Transport Strategy Contribution </w:t>
            </w:r>
          </w:p>
          <w:p w:rsidR="00CA6AFA" w:rsidRPr="00CA6AFA" w:rsidRDefault="00CA6AFA" w:rsidP="00CA6AFA"/>
          <w:p w:rsidR="0052045C" w:rsidRPr="00CA6AFA" w:rsidRDefault="0052045C" w:rsidP="00CA6AFA"/>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A6AFA" w:rsidRPr="0001437B" w:rsidRDefault="00203CBB" w:rsidP="00E47B6B">
            <w:r w:rsidRPr="0001437B">
              <w:t>£162,500.00</w:t>
            </w:r>
          </w:p>
          <w:p w:rsidR="0052045C" w:rsidRPr="0001437B" w:rsidRDefault="0052045C" w:rsidP="00CA6AFA"/>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90606" w:rsidRPr="0001437B" w:rsidRDefault="00790606" w:rsidP="00790606">
            <w:r w:rsidRPr="0001437B">
              <w:t>BCIS Price Adjustment Fo</w:t>
            </w:r>
            <w:r w:rsidR="003E5D85" w:rsidRPr="0001437B">
              <w:t xml:space="preserve">rmulae </w:t>
            </w:r>
            <w:r w:rsidRPr="0001437B">
              <w:t xml:space="preserve">(Civil </w:t>
            </w:r>
            <w:r w:rsidR="003E5D85" w:rsidRPr="0001437B">
              <w:t>Engineering</w:t>
            </w:r>
            <w:r w:rsidRPr="0001437B">
              <w:t xml:space="preserve">) </w:t>
            </w:r>
          </w:p>
          <w:p w:rsidR="00CA6AFA" w:rsidRPr="0001437B" w:rsidRDefault="00790606" w:rsidP="00790606">
            <w:r w:rsidRPr="0001437B">
              <w:t>April 2016</w:t>
            </w:r>
          </w:p>
          <w:p w:rsidR="0052045C" w:rsidRPr="0001437B" w:rsidRDefault="0052045C" w:rsidP="00CA6AFA"/>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593848" w:rsidP="00E47B6B">
            <w:r w:rsidRPr="0001437B">
              <w:t>Prior to Occupation of 45</w:t>
            </w:r>
            <w:r w:rsidRPr="0001437B">
              <w:rPr>
                <w:vertAlign w:val="superscript"/>
              </w:rPr>
              <w:t>th</w:t>
            </w:r>
            <w:r w:rsidRPr="0001437B">
              <w:t xml:space="preserve"> Dwelling House</w:t>
            </w:r>
          </w:p>
        </w:tc>
        <w:tc>
          <w:tcPr>
            <w:tcW w:w="5058"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203CBB" w:rsidP="00CA6AFA">
            <w:r w:rsidRPr="0001437B">
              <w:t>Cost of delivering the A44 corridor Oxford Park and ride car park as per the Oxford Transport Strategy.</w:t>
            </w:r>
            <w:r w:rsidR="005F330E">
              <w:t xml:space="preserve"> </w:t>
            </w:r>
          </w:p>
        </w:tc>
      </w:tr>
      <w:tr w:rsidR="003E5D85" w:rsidRPr="000D7A92" w:rsidTr="00374960">
        <w:trPr>
          <w:trHeight w:val="933"/>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Default="0052045C" w:rsidP="00E47B6B">
            <w:pPr>
              <w:rPr>
                <w:b/>
              </w:rPr>
            </w:pPr>
            <w:r>
              <w:rPr>
                <w:b/>
              </w:rPr>
              <w:t xml:space="preserve">Travel Plan Monitoring Contribution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52045C" w:rsidP="00E47B6B">
            <w:r w:rsidRPr="0001437B">
              <w:t>£2,040.00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694F8B" w:rsidP="00E47B6B">
            <w:r w:rsidRPr="0001437B">
              <w:t>N/A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3E5D85" w:rsidP="00E47B6B">
            <w:pPr>
              <w:rPr>
                <w:b/>
              </w:rPr>
            </w:pPr>
            <w:r w:rsidRPr="0001437B">
              <w:t>Commencement</w:t>
            </w:r>
          </w:p>
        </w:tc>
        <w:tc>
          <w:tcPr>
            <w:tcW w:w="5058" w:type="dxa"/>
            <w:tcBorders>
              <w:top w:val="single" w:sz="4" w:space="0" w:color="auto"/>
              <w:left w:val="single" w:sz="4" w:space="0" w:color="auto"/>
              <w:bottom w:val="single" w:sz="4" w:space="0" w:color="auto"/>
              <w:right w:val="single" w:sz="4" w:space="0" w:color="auto"/>
            </w:tcBorders>
            <w:shd w:val="clear" w:color="auto" w:fill="FFFFFF" w:themeFill="background1"/>
          </w:tcPr>
          <w:p w:rsidR="0052045C" w:rsidRPr="0001437B" w:rsidRDefault="0052045C" w:rsidP="00E47B6B">
            <w:r w:rsidRPr="0001437B">
              <w:t>Monitoring of the framework travel plan for the Site</w:t>
            </w:r>
          </w:p>
          <w:p w:rsidR="00CA6AFA" w:rsidRPr="0001437B" w:rsidRDefault="00CA6AFA" w:rsidP="00E47B6B"/>
          <w:p w:rsidR="00CA6AFA" w:rsidRPr="0001437B" w:rsidRDefault="00CA6AFA" w:rsidP="00E47B6B"/>
        </w:tc>
      </w:tr>
      <w:tr w:rsidR="00B21E99" w:rsidRPr="00EC60E1" w:rsidTr="00374960">
        <w:trPr>
          <w:trHeight w:val="297"/>
        </w:trPr>
        <w:tc>
          <w:tcPr>
            <w:tcW w:w="13705" w:type="dxa"/>
            <w:gridSpan w:val="5"/>
            <w:tcBorders>
              <w:top w:val="single" w:sz="4" w:space="0" w:color="auto"/>
              <w:left w:val="single" w:sz="4" w:space="0" w:color="auto"/>
              <w:bottom w:val="single" w:sz="4" w:space="0" w:color="auto"/>
              <w:right w:val="single" w:sz="4" w:space="0" w:color="auto"/>
            </w:tcBorders>
            <w:shd w:val="clear" w:color="auto" w:fill="auto"/>
          </w:tcPr>
          <w:p w:rsidR="00D97C06" w:rsidRDefault="00D97C06" w:rsidP="00B21E99">
            <w:pPr>
              <w:tabs>
                <w:tab w:val="left" w:pos="1842"/>
              </w:tabs>
              <w:jc w:val="left"/>
              <w:rPr>
                <w:b/>
              </w:rPr>
            </w:pPr>
            <w:r>
              <w:rPr>
                <w:b/>
              </w:rPr>
              <w:t xml:space="preserve"> PLEASE ALSO NOTE THAT:</w:t>
            </w:r>
          </w:p>
          <w:p w:rsidR="00D97C06" w:rsidRDefault="00D97C06" w:rsidP="00B21E99">
            <w:pPr>
              <w:tabs>
                <w:tab w:val="left" w:pos="1842"/>
              </w:tabs>
              <w:jc w:val="left"/>
              <w:rPr>
                <w:b/>
              </w:rPr>
            </w:pPr>
            <w:r>
              <w:rPr>
                <w:b/>
              </w:rPr>
              <w:t>1.</w:t>
            </w:r>
            <w:r w:rsidR="005F330E">
              <w:rPr>
                <w:b/>
              </w:rPr>
              <w:t xml:space="preserve"> *</w:t>
            </w:r>
            <w:r>
              <w:rPr>
                <w:b/>
              </w:rPr>
              <w:t>Supplemental Payments</w:t>
            </w:r>
          </w:p>
          <w:p w:rsidR="00B21E99" w:rsidRPr="00B21E99" w:rsidRDefault="00B21E99" w:rsidP="00B21E99">
            <w:pPr>
              <w:tabs>
                <w:tab w:val="left" w:pos="1842"/>
              </w:tabs>
              <w:jc w:val="left"/>
            </w:pPr>
            <w:r>
              <w:t>T</w:t>
            </w:r>
            <w:r w:rsidRPr="00B21E99">
              <w:t xml:space="preserve">here are provisions which </w:t>
            </w:r>
            <w:r w:rsidR="00427827" w:rsidRPr="00B21E99">
              <w:t>allow for</w:t>
            </w:r>
            <w:r w:rsidRPr="00B21E99">
              <w:t xml:space="preserve"> the Council to</w:t>
            </w:r>
            <w:r w:rsidR="005F330E">
              <w:t xml:space="preserve"> </w:t>
            </w:r>
            <w:r w:rsidR="00D97C06">
              <w:t>require a</w:t>
            </w:r>
            <w:r w:rsidR="005F330E">
              <w:t xml:space="preserve"> </w:t>
            </w:r>
            <w:r w:rsidR="00D97C06">
              <w:t>supplemental</w:t>
            </w:r>
            <w:r w:rsidR="005F330E">
              <w:t xml:space="preserve"> </w:t>
            </w:r>
            <w:r w:rsidR="00D97C06">
              <w:t>payment</w:t>
            </w:r>
            <w:r w:rsidR="005F330E">
              <w:t xml:space="preserve"> </w:t>
            </w:r>
            <w:r w:rsidR="00D97C06">
              <w:t>for</w:t>
            </w:r>
            <w:r w:rsidR="005F330E">
              <w:t xml:space="preserve"> </w:t>
            </w:r>
            <w:r w:rsidRPr="00B21E99">
              <w:t>the</w:t>
            </w:r>
            <w:r w:rsidR="005F330E">
              <w:t xml:space="preserve"> </w:t>
            </w:r>
            <w:r w:rsidRPr="00B21E99">
              <w:t>education contributions</w:t>
            </w:r>
            <w:r w:rsidR="005F330E">
              <w:t xml:space="preserve"> </w:t>
            </w:r>
            <w:r w:rsidRPr="00B21E99">
              <w:t>in the event that the housing mix changes from that</w:t>
            </w:r>
            <w:r w:rsidR="005F330E">
              <w:t xml:space="preserve"> </w:t>
            </w:r>
            <w:r w:rsidR="000872C8" w:rsidRPr="00B21E99">
              <w:t>estimated</w:t>
            </w:r>
            <w:r w:rsidR="000872C8">
              <w:t xml:space="preserve"> at</w:t>
            </w:r>
            <w:r w:rsidR="005F330E">
              <w:t xml:space="preserve"> the time  of the County  consultation</w:t>
            </w:r>
            <w:r w:rsidRPr="00B21E99">
              <w:t xml:space="preserve">. </w:t>
            </w:r>
            <w:bookmarkStart w:id="0" w:name="_GoBack"/>
            <w:bookmarkEnd w:id="0"/>
          </w:p>
          <w:p w:rsidR="00B21E99" w:rsidRPr="00B21E99" w:rsidRDefault="00B21E99" w:rsidP="00B21E99">
            <w:pPr>
              <w:tabs>
                <w:tab w:val="left" w:pos="1842"/>
              </w:tabs>
              <w:jc w:val="left"/>
            </w:pPr>
          </w:p>
          <w:p w:rsidR="000E6C24" w:rsidRDefault="00B21E99" w:rsidP="00B21E99">
            <w:pPr>
              <w:tabs>
                <w:tab w:val="left" w:pos="1842"/>
              </w:tabs>
              <w:jc w:val="left"/>
            </w:pPr>
            <w:r w:rsidRPr="00B21E99">
              <w:lastRenderedPageBreak/>
              <w:t>To comply with these provisions</w:t>
            </w:r>
            <w:r w:rsidR="00EC6195">
              <w:t xml:space="preserve"> the Owner/ Developer</w:t>
            </w:r>
            <w:r w:rsidRPr="00B21E99">
              <w:t xml:space="preserve"> must</w:t>
            </w:r>
            <w:r w:rsidR="005F330E">
              <w:t xml:space="preserve"> </w:t>
            </w:r>
            <w:r w:rsidR="000E6C24">
              <w:t>on each return date (1 April and 1 October):</w:t>
            </w:r>
          </w:p>
          <w:p w:rsidR="00B21E99" w:rsidRDefault="000E6C24" w:rsidP="00B21E99">
            <w:pPr>
              <w:pStyle w:val="ListParagraph"/>
              <w:numPr>
                <w:ilvl w:val="0"/>
                <w:numId w:val="12"/>
              </w:numPr>
              <w:tabs>
                <w:tab w:val="left" w:pos="1842"/>
              </w:tabs>
              <w:jc w:val="left"/>
            </w:pPr>
            <w:r>
              <w:t>Notify the Council of (i) the number of</w:t>
            </w:r>
            <w:r w:rsidR="005F330E">
              <w:t xml:space="preserve"> </w:t>
            </w:r>
            <w:r>
              <w:t>Dwellings Occupied; and (ii)</w:t>
            </w:r>
            <w:r w:rsidR="005F330E">
              <w:t xml:space="preserve"> </w:t>
            </w:r>
            <w:r>
              <w:t>the number</w:t>
            </w:r>
            <w:r w:rsidR="00EE303E">
              <w:t xml:space="preserve"> 1-bed, 2-bed, 3-bed and</w:t>
            </w:r>
            <w:r w:rsidR="005F330E">
              <w:t xml:space="preserve"> </w:t>
            </w:r>
            <w:r w:rsidR="00EE303E">
              <w:t>4</w:t>
            </w:r>
            <w:r>
              <w:t>(or more)-bed dwellings</w:t>
            </w:r>
            <w:r w:rsidR="005F330E">
              <w:t xml:space="preserve"> </w:t>
            </w:r>
            <w:r>
              <w:t>occupied</w:t>
            </w:r>
            <w:r w:rsidR="005F330E">
              <w:t xml:space="preserve"> </w:t>
            </w:r>
            <w:r>
              <w:t xml:space="preserve">since the last return date; and </w:t>
            </w:r>
          </w:p>
          <w:p w:rsidR="00B21E99" w:rsidRPr="00D97C06" w:rsidRDefault="000E6C24" w:rsidP="000E6C24">
            <w:pPr>
              <w:pStyle w:val="ListParagraph"/>
              <w:numPr>
                <w:ilvl w:val="0"/>
                <w:numId w:val="12"/>
              </w:numPr>
              <w:tabs>
                <w:tab w:val="left" w:pos="1842"/>
              </w:tabs>
              <w:jc w:val="left"/>
              <w:rPr>
                <w:b/>
              </w:rPr>
            </w:pPr>
            <w:r>
              <w:t>Notify</w:t>
            </w:r>
            <w:r>
              <w:t xml:space="preserve"> the Council of (i) the number of Dwellings Occupied; and (ii)</w:t>
            </w:r>
            <w:r w:rsidR="005F330E">
              <w:t xml:space="preserve"> </w:t>
            </w:r>
            <w:r>
              <w:t>the number1-bed, 2-bed, 3-bed and</w:t>
            </w:r>
            <w:r w:rsidR="005F330E">
              <w:t xml:space="preserve"> </w:t>
            </w:r>
            <w:r>
              <w:t xml:space="preserve">4 (or more)-bed dwellings </w:t>
            </w:r>
            <w:r>
              <w:t xml:space="preserve">in total on the Development. </w:t>
            </w:r>
          </w:p>
          <w:p w:rsidR="00D97C06" w:rsidRDefault="00D97C06" w:rsidP="000E6C24">
            <w:pPr>
              <w:pStyle w:val="ListParagraph"/>
              <w:numPr>
                <w:ilvl w:val="0"/>
                <w:numId w:val="12"/>
              </w:numPr>
              <w:tabs>
                <w:tab w:val="left" w:pos="1842"/>
              </w:tabs>
              <w:jc w:val="left"/>
            </w:pPr>
            <w:r w:rsidRPr="00905EDA">
              <w:t>On any return date after the Occupation of the 50</w:t>
            </w:r>
            <w:r w:rsidRPr="00905EDA">
              <w:rPr>
                <w:vertAlign w:val="superscript"/>
              </w:rPr>
              <w:t>th</w:t>
            </w:r>
            <w:r w:rsidRPr="00905EDA">
              <w:t xml:space="preserve"> Dwelling, where the contribution calculated in accordance with the</w:t>
            </w:r>
            <w:r w:rsidR="005F330E">
              <w:t xml:space="preserve"> </w:t>
            </w:r>
            <w:r w:rsidRPr="00905EDA">
              <w:t>mix o</w:t>
            </w:r>
            <w:r w:rsidR="00905EDA" w:rsidRPr="00905EDA">
              <w:t>f</w:t>
            </w:r>
            <w:r w:rsidR="005F330E">
              <w:t xml:space="preserve"> </w:t>
            </w:r>
            <w:r w:rsidR="00905EDA" w:rsidRPr="00905EDA">
              <w:t xml:space="preserve">housing set out in the </w:t>
            </w:r>
            <w:r w:rsidR="00293A6F">
              <w:t xml:space="preserve"> notification to the  Council, </w:t>
            </w:r>
            <w:r w:rsidR="00905EDA" w:rsidRPr="00905EDA">
              <w:t>amounts to a sum</w:t>
            </w:r>
            <w:r w:rsidR="005F330E">
              <w:t xml:space="preserve"> </w:t>
            </w:r>
            <w:r w:rsidR="00905EDA" w:rsidRPr="00905EDA">
              <w:t>higher than the</w:t>
            </w:r>
            <w:r w:rsidR="005F330E">
              <w:t xml:space="preserve"> </w:t>
            </w:r>
            <w:r w:rsidR="00905EDA" w:rsidRPr="00905EDA">
              <w:t>original</w:t>
            </w:r>
            <w:r w:rsidR="00905EDA">
              <w:t xml:space="preserve"> education contributions</w:t>
            </w:r>
            <w:r w:rsidR="005F330E">
              <w:t xml:space="preserve"> </w:t>
            </w:r>
            <w:r w:rsidR="00905EDA">
              <w:t>a supplemental</w:t>
            </w:r>
            <w:r w:rsidR="005F330E">
              <w:t xml:space="preserve"> </w:t>
            </w:r>
            <w:r w:rsidR="00905EDA">
              <w:t>payment shall be due to the</w:t>
            </w:r>
            <w:r w:rsidR="005F330E">
              <w:t xml:space="preserve"> </w:t>
            </w:r>
            <w:r w:rsidR="00905EDA">
              <w:t>Council.</w:t>
            </w:r>
          </w:p>
          <w:p w:rsidR="00905EDA" w:rsidRPr="005F330E" w:rsidRDefault="00905EDA" w:rsidP="00905EDA">
            <w:pPr>
              <w:tabs>
                <w:tab w:val="left" w:pos="1842"/>
              </w:tabs>
              <w:jc w:val="left"/>
              <w:rPr>
                <w:b/>
              </w:rPr>
            </w:pPr>
            <w:r w:rsidRPr="005F330E">
              <w:rPr>
                <w:b/>
              </w:rPr>
              <w:t>2.</w:t>
            </w:r>
            <w:r w:rsidR="005F330E">
              <w:rPr>
                <w:b/>
              </w:rPr>
              <w:t xml:space="preserve"> </w:t>
            </w:r>
            <w:r w:rsidRPr="005F330E">
              <w:rPr>
                <w:b/>
              </w:rPr>
              <w:t>Additional payments:</w:t>
            </w:r>
          </w:p>
          <w:p w:rsidR="005F330E" w:rsidRDefault="005F330E" w:rsidP="005F330E">
            <w:pPr>
              <w:pStyle w:val="ListParagraph"/>
              <w:numPr>
                <w:ilvl w:val="0"/>
                <w:numId w:val="12"/>
              </w:numPr>
              <w:tabs>
                <w:tab w:val="left" w:pos="1842"/>
              </w:tabs>
              <w:jc w:val="left"/>
            </w:pPr>
            <w:r>
              <w:t>A c</w:t>
            </w:r>
            <w:r w:rsidR="00905EDA">
              <w:t>ontribution toward</w:t>
            </w:r>
            <w:r>
              <w:t>s</w:t>
            </w:r>
            <w:r w:rsidR="00905EDA">
              <w:t xml:space="preserve"> the</w:t>
            </w:r>
            <w:r>
              <w:t xml:space="preserve"> </w:t>
            </w:r>
            <w:r w:rsidR="00905EDA">
              <w:t>reallocation costs</w:t>
            </w:r>
            <w:r>
              <w:t xml:space="preserve"> </w:t>
            </w:r>
            <w:r w:rsidR="00905EDA">
              <w:t>for the nursery -</w:t>
            </w:r>
            <w:r>
              <w:t xml:space="preserve"> </w:t>
            </w:r>
            <w:r w:rsidR="00905EDA">
              <w:t>see the section</w:t>
            </w:r>
            <w:r>
              <w:t xml:space="preserve"> </w:t>
            </w:r>
            <w:r w:rsidR="00905EDA">
              <w:t xml:space="preserve">on the </w:t>
            </w:r>
            <w:r>
              <w:t xml:space="preserve">Nursery Schedule below; and </w:t>
            </w:r>
          </w:p>
          <w:p w:rsidR="00905EDA" w:rsidRPr="00905EDA" w:rsidRDefault="005F330E" w:rsidP="005F330E">
            <w:pPr>
              <w:pStyle w:val="ListParagraph"/>
              <w:numPr>
                <w:ilvl w:val="0"/>
                <w:numId w:val="12"/>
              </w:numPr>
              <w:tabs>
                <w:tab w:val="left" w:pos="1842"/>
              </w:tabs>
              <w:jc w:val="left"/>
            </w:pPr>
            <w:r>
              <w:t>The second instalment of the monitoring fee is payable on commencement ( see details below)</w:t>
            </w:r>
            <w:r w:rsidR="00293A6F">
              <w:t>.</w:t>
            </w:r>
            <w:r w:rsidR="00905EDA">
              <w:t xml:space="preserve"> </w:t>
            </w:r>
          </w:p>
          <w:p w:rsidR="00B21E99" w:rsidRPr="0001437B" w:rsidRDefault="00B21E99" w:rsidP="00CA6AFA">
            <w:pPr>
              <w:jc w:val="center"/>
              <w:rPr>
                <w:b/>
              </w:rPr>
            </w:pPr>
          </w:p>
        </w:tc>
      </w:tr>
      <w:tr w:rsidR="00CA6AFA" w:rsidRPr="00EC60E1" w:rsidTr="00374960">
        <w:trPr>
          <w:trHeight w:val="297"/>
        </w:trPr>
        <w:tc>
          <w:tcPr>
            <w:tcW w:w="1370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6AFA" w:rsidRPr="0001437B" w:rsidRDefault="00EE303E" w:rsidP="00CA6AFA">
            <w:pPr>
              <w:jc w:val="center"/>
              <w:rPr>
                <w:b/>
              </w:rPr>
            </w:pPr>
            <w:r>
              <w:rPr>
                <w:b/>
              </w:rPr>
              <w:lastRenderedPageBreak/>
              <w:t xml:space="preserve"> OTHER SCHEDULES</w:t>
            </w:r>
          </w:p>
          <w:p w:rsidR="00593848" w:rsidRPr="0001437B" w:rsidRDefault="00593848" w:rsidP="00293A6F">
            <w:pPr>
              <w:rPr>
                <w:b/>
              </w:rPr>
            </w:pPr>
          </w:p>
        </w:tc>
      </w:tr>
      <w:tr w:rsidR="00694F8B" w:rsidRPr="00EC60E1" w:rsidTr="00374960">
        <w:trPr>
          <w:trHeight w:val="279"/>
        </w:trPr>
        <w:tc>
          <w:tcPr>
            <w:tcW w:w="13705" w:type="dxa"/>
            <w:gridSpan w:val="5"/>
            <w:tcBorders>
              <w:top w:val="single" w:sz="4" w:space="0" w:color="auto"/>
            </w:tcBorders>
          </w:tcPr>
          <w:p w:rsidR="00694F8B" w:rsidRPr="0001437B" w:rsidRDefault="00EE303E" w:rsidP="00E47B6B">
            <w:pPr>
              <w:rPr>
                <w:b/>
              </w:rPr>
            </w:pPr>
            <w:r>
              <w:rPr>
                <w:b/>
              </w:rPr>
              <w:t>Forms</w:t>
            </w:r>
            <w:r w:rsidR="00694F8B" w:rsidRPr="0001437B">
              <w:rPr>
                <w:b/>
              </w:rPr>
              <w:t xml:space="preserve"> of security </w:t>
            </w:r>
            <w:r w:rsidR="00CA6AFA" w:rsidRPr="0001437B">
              <w:rPr>
                <w:b/>
              </w:rPr>
              <w:t xml:space="preserve">- </w:t>
            </w:r>
          </w:p>
        </w:tc>
      </w:tr>
      <w:tr w:rsidR="00EE303E" w:rsidRPr="00B50589" w:rsidTr="00374960">
        <w:trPr>
          <w:trHeight w:val="984"/>
        </w:trPr>
        <w:tc>
          <w:tcPr>
            <w:tcW w:w="13705" w:type="dxa"/>
            <w:gridSpan w:val="5"/>
          </w:tcPr>
          <w:p w:rsidR="00EE303E" w:rsidRPr="0001437B" w:rsidRDefault="00EE303E" w:rsidP="00E47B6B">
            <w:pPr>
              <w:spacing w:line="240" w:lineRule="auto"/>
              <w:rPr>
                <w:szCs w:val="20"/>
              </w:rPr>
            </w:pPr>
            <w:r w:rsidRPr="0001437B">
              <w:rPr>
                <w:szCs w:val="20"/>
              </w:rPr>
              <w:t>The Owner and the Developer agree with the Council not to:</w:t>
            </w:r>
          </w:p>
          <w:p w:rsidR="00EE303E" w:rsidRPr="0001437B" w:rsidRDefault="00EE303E" w:rsidP="00EE303E">
            <w:pPr>
              <w:pStyle w:val="ListParagraph"/>
              <w:numPr>
                <w:ilvl w:val="0"/>
                <w:numId w:val="5"/>
              </w:numPr>
              <w:spacing w:line="240" w:lineRule="auto"/>
              <w:rPr>
                <w:szCs w:val="20"/>
              </w:rPr>
            </w:pPr>
            <w:r>
              <w:rPr>
                <w:rFonts w:cs="Arial"/>
                <w:szCs w:val="20"/>
              </w:rPr>
              <w:t xml:space="preserve">commence </w:t>
            </w:r>
            <w:r w:rsidRPr="0001437B">
              <w:rPr>
                <w:rFonts w:cs="Arial"/>
                <w:szCs w:val="20"/>
              </w:rPr>
              <w:t>until it</w:t>
            </w:r>
            <w:r>
              <w:rPr>
                <w:rFonts w:cs="Arial"/>
                <w:szCs w:val="20"/>
              </w:rPr>
              <w:t xml:space="preserve"> has provided either a bond or</w:t>
            </w:r>
            <w:r w:rsidR="005F330E">
              <w:rPr>
                <w:rFonts w:cs="Arial"/>
                <w:szCs w:val="20"/>
              </w:rPr>
              <w:t xml:space="preserve"> </w:t>
            </w:r>
            <w:r>
              <w:rPr>
                <w:rFonts w:cs="Arial"/>
                <w:szCs w:val="20"/>
              </w:rPr>
              <w:t>cash</w:t>
            </w:r>
            <w:r w:rsidR="005F330E">
              <w:rPr>
                <w:rFonts w:cs="Arial"/>
                <w:szCs w:val="20"/>
              </w:rPr>
              <w:t xml:space="preserve"> </w:t>
            </w:r>
            <w:r>
              <w:rPr>
                <w:rFonts w:cs="Arial"/>
                <w:szCs w:val="20"/>
              </w:rPr>
              <w:t xml:space="preserve">deposit deed </w:t>
            </w:r>
            <w:r w:rsidRPr="0001437B">
              <w:rPr>
                <w:rFonts w:cs="Arial"/>
                <w:szCs w:val="20"/>
              </w:rPr>
              <w:t>to the Council</w:t>
            </w:r>
            <w:r>
              <w:rPr>
                <w:rFonts w:cs="Arial"/>
                <w:szCs w:val="20"/>
              </w:rPr>
              <w:t xml:space="preserve"> in respect of the</w:t>
            </w:r>
            <w:r w:rsidR="005F330E">
              <w:rPr>
                <w:rFonts w:cs="Arial"/>
                <w:szCs w:val="20"/>
              </w:rPr>
              <w:t xml:space="preserve"> </w:t>
            </w:r>
            <w:r>
              <w:rPr>
                <w:rFonts w:cs="Arial"/>
                <w:szCs w:val="20"/>
              </w:rPr>
              <w:t>contributions</w:t>
            </w:r>
            <w:r w:rsidRPr="0001437B">
              <w:rPr>
                <w:rFonts w:cs="Arial"/>
                <w:szCs w:val="20"/>
              </w:rPr>
              <w:t>;</w:t>
            </w:r>
            <w:r>
              <w:rPr>
                <w:rFonts w:cs="Arial"/>
                <w:szCs w:val="20"/>
              </w:rPr>
              <w:t xml:space="preserve"> and</w:t>
            </w:r>
          </w:p>
          <w:p w:rsidR="00EE303E" w:rsidRPr="00EC6195" w:rsidRDefault="00EE303E" w:rsidP="00EE303E">
            <w:pPr>
              <w:pStyle w:val="ListParagraph"/>
              <w:numPr>
                <w:ilvl w:val="0"/>
                <w:numId w:val="5"/>
              </w:numPr>
              <w:spacing w:line="240" w:lineRule="auto"/>
              <w:rPr>
                <w:szCs w:val="20"/>
              </w:rPr>
            </w:pPr>
            <w:r w:rsidRPr="00EE303E">
              <w:rPr>
                <w:rFonts w:cs="Arial"/>
                <w:szCs w:val="20"/>
              </w:rPr>
              <w:t xml:space="preserve">Occupy more than 50 Dwellings </w:t>
            </w:r>
            <w:r w:rsidRPr="00EE303E">
              <w:rPr>
                <w:rFonts w:cs="Arial"/>
                <w:szCs w:val="20"/>
              </w:rPr>
              <w:t xml:space="preserve">until it has provided either a bond </w:t>
            </w:r>
            <w:r w:rsidR="00EC6195" w:rsidRPr="00EE303E">
              <w:rPr>
                <w:rFonts w:cs="Arial"/>
                <w:szCs w:val="20"/>
              </w:rPr>
              <w:t xml:space="preserve">or </w:t>
            </w:r>
            <w:r w:rsidR="00905EDA" w:rsidRPr="00EE303E">
              <w:rPr>
                <w:rFonts w:cs="Arial"/>
                <w:szCs w:val="20"/>
              </w:rPr>
              <w:t>cash deposit</w:t>
            </w:r>
            <w:r w:rsidRPr="00EE303E">
              <w:rPr>
                <w:rFonts w:cs="Arial"/>
                <w:szCs w:val="20"/>
              </w:rPr>
              <w:t xml:space="preserve"> deed to the Council in respect of the </w:t>
            </w:r>
            <w:r w:rsidRPr="00EE303E">
              <w:rPr>
                <w:rFonts w:cs="Arial"/>
                <w:szCs w:val="20"/>
              </w:rPr>
              <w:t xml:space="preserve">Nursery Works. </w:t>
            </w:r>
          </w:p>
        </w:tc>
      </w:tr>
      <w:tr w:rsidR="00694F8B" w:rsidRPr="00B50589" w:rsidTr="00374960">
        <w:trPr>
          <w:trHeight w:val="279"/>
        </w:trPr>
        <w:tc>
          <w:tcPr>
            <w:tcW w:w="13705" w:type="dxa"/>
            <w:gridSpan w:val="5"/>
          </w:tcPr>
          <w:p w:rsidR="00694F8B" w:rsidRPr="0001437B" w:rsidRDefault="00694F8B" w:rsidP="00694F8B">
            <w:pPr>
              <w:rPr>
                <w:strike/>
                <w:szCs w:val="20"/>
              </w:rPr>
            </w:pPr>
            <w:r w:rsidRPr="0001437B">
              <w:rPr>
                <w:b/>
              </w:rPr>
              <w:t xml:space="preserve">Highway Works </w:t>
            </w:r>
          </w:p>
        </w:tc>
      </w:tr>
      <w:tr w:rsidR="00EE303E" w:rsidTr="00293A6F">
        <w:tc>
          <w:tcPr>
            <w:tcW w:w="13705" w:type="dxa"/>
            <w:gridSpan w:val="5"/>
          </w:tcPr>
          <w:p w:rsidR="00EE303E" w:rsidRPr="0001437B" w:rsidRDefault="00EE303E" w:rsidP="00E47B6B">
            <w:r w:rsidRPr="0001437B">
              <w:t>The Owner and the Developer agree with the Council not to:</w:t>
            </w:r>
          </w:p>
          <w:p w:rsidR="00EE303E" w:rsidRPr="0001437B" w:rsidRDefault="0024779C" w:rsidP="00E47B6B">
            <w:pPr>
              <w:pStyle w:val="ListParagraph"/>
              <w:numPr>
                <w:ilvl w:val="0"/>
                <w:numId w:val="7"/>
              </w:numPr>
            </w:pPr>
            <w:r>
              <w:t xml:space="preserve">Commence </w:t>
            </w:r>
            <w:r w:rsidR="00EE303E" w:rsidRPr="0001437B">
              <w:t>until in principle drawings of the works, duration of construction of the Works,</w:t>
            </w:r>
            <w:r w:rsidR="005F330E">
              <w:t xml:space="preserve"> </w:t>
            </w:r>
            <w:r w:rsidR="00EE303E" w:rsidRPr="0001437B">
              <w:t>commuted maintenance of the Works and a plan identifying the land to be dedicated for the purposes of the Works</w:t>
            </w:r>
            <w:r>
              <w:t xml:space="preserve"> </w:t>
            </w:r>
            <w:r w:rsidRPr="0001437B">
              <w:t>have been submitted</w:t>
            </w:r>
            <w:r w:rsidR="005F330E">
              <w:t xml:space="preserve"> </w:t>
            </w:r>
            <w:r>
              <w:t>and approved by the Council;</w:t>
            </w:r>
          </w:p>
          <w:p w:rsidR="00EE303E" w:rsidRPr="0001437B" w:rsidRDefault="0024779C" w:rsidP="00541429">
            <w:pPr>
              <w:pStyle w:val="ListParagraph"/>
              <w:numPr>
                <w:ilvl w:val="0"/>
                <w:numId w:val="7"/>
              </w:numPr>
            </w:pPr>
            <w:r>
              <w:t>Occupy</w:t>
            </w:r>
            <w:r w:rsidR="00545181">
              <w:t xml:space="preserve"> any Dwelling </w:t>
            </w:r>
            <w:r w:rsidRPr="0024779C">
              <w:rPr>
                <w:szCs w:val="20"/>
              </w:rPr>
              <w:t>until</w:t>
            </w:r>
            <w:r w:rsidR="00EE303E" w:rsidRPr="0024779C">
              <w:rPr>
                <w:rFonts w:cs="Arial"/>
                <w:bCs/>
                <w:szCs w:val="20"/>
              </w:rPr>
              <w:t xml:space="preserve"> (</w:t>
            </w:r>
            <w:r w:rsidR="00427827">
              <w:rPr>
                <w:rFonts w:cs="Arial"/>
                <w:bCs/>
                <w:szCs w:val="20"/>
              </w:rPr>
              <w:t>a</w:t>
            </w:r>
            <w:r w:rsidR="00EE303E" w:rsidRPr="0024779C">
              <w:rPr>
                <w:rFonts w:cs="Arial"/>
                <w:bCs/>
                <w:szCs w:val="20"/>
              </w:rPr>
              <w:t xml:space="preserve">) </w:t>
            </w:r>
            <w:r>
              <w:rPr>
                <w:rFonts w:cs="Arial"/>
                <w:bCs/>
                <w:szCs w:val="20"/>
              </w:rPr>
              <w:t>A44 access</w:t>
            </w:r>
            <w:r w:rsidR="005F330E">
              <w:rPr>
                <w:rFonts w:cs="Arial"/>
                <w:bCs/>
                <w:szCs w:val="20"/>
              </w:rPr>
              <w:t xml:space="preserve"> </w:t>
            </w:r>
            <w:r>
              <w:rPr>
                <w:rFonts w:cs="Arial"/>
                <w:bCs/>
                <w:szCs w:val="20"/>
              </w:rPr>
              <w:t>arrangements, and</w:t>
            </w:r>
            <w:r w:rsidR="005F330E">
              <w:rPr>
                <w:rFonts w:cs="Arial"/>
                <w:bCs/>
                <w:szCs w:val="20"/>
              </w:rPr>
              <w:t xml:space="preserve"> </w:t>
            </w:r>
            <w:r>
              <w:rPr>
                <w:rFonts w:cs="Arial"/>
                <w:bCs/>
                <w:szCs w:val="20"/>
              </w:rPr>
              <w:t>(</w:t>
            </w:r>
            <w:r w:rsidR="00427827">
              <w:rPr>
                <w:rFonts w:cs="Arial"/>
                <w:bCs/>
                <w:szCs w:val="20"/>
              </w:rPr>
              <w:t>e</w:t>
            </w:r>
            <w:r>
              <w:rPr>
                <w:rFonts w:cs="Arial"/>
                <w:bCs/>
                <w:szCs w:val="20"/>
              </w:rPr>
              <w:t>)</w:t>
            </w:r>
            <w:r w:rsidR="005F330E">
              <w:rPr>
                <w:rFonts w:cs="Arial"/>
                <w:bCs/>
                <w:szCs w:val="20"/>
              </w:rPr>
              <w:t xml:space="preserve"> </w:t>
            </w:r>
            <w:r>
              <w:rPr>
                <w:rFonts w:cs="Arial"/>
                <w:bCs/>
                <w:szCs w:val="20"/>
              </w:rPr>
              <w:t xml:space="preserve">the cycleway form the Bladon roundabout </w:t>
            </w:r>
            <w:r w:rsidRPr="0024779C">
              <w:rPr>
                <w:rFonts w:cs="Arial"/>
                <w:bCs/>
                <w:szCs w:val="20"/>
              </w:rPr>
              <w:t xml:space="preserve">have been completed; </w:t>
            </w:r>
            <w:r w:rsidR="00545181">
              <w:rPr>
                <w:rFonts w:cs="Arial"/>
                <w:bCs/>
                <w:szCs w:val="20"/>
              </w:rPr>
              <w:t xml:space="preserve"> and</w:t>
            </w:r>
          </w:p>
          <w:p w:rsidR="00EE303E" w:rsidRDefault="0024779C" w:rsidP="00427827">
            <w:pPr>
              <w:pStyle w:val="ListParagraph"/>
              <w:numPr>
                <w:ilvl w:val="0"/>
                <w:numId w:val="7"/>
              </w:numPr>
            </w:pPr>
            <w:r>
              <w:t>Occupy more than 45 Dwellings until</w:t>
            </w:r>
            <w:r w:rsidR="005F330E">
              <w:t xml:space="preserve"> </w:t>
            </w:r>
            <w:r w:rsidR="00EE303E" w:rsidRPr="0001437B">
              <w:t>(</w:t>
            </w:r>
            <w:r w:rsidR="00427827">
              <w:t>b</w:t>
            </w:r>
            <w:r w:rsidR="00EE303E" w:rsidRPr="0001437B">
              <w:t>)</w:t>
            </w:r>
            <w:r>
              <w:t xml:space="preserve"> site access onto Shipton Road,</w:t>
            </w:r>
            <w:r w:rsidR="00EE303E" w:rsidRPr="0001437B">
              <w:t xml:space="preserve"> (</w:t>
            </w:r>
            <w:r w:rsidR="00427827">
              <w:t>c</w:t>
            </w:r>
            <w:r w:rsidR="00EE303E" w:rsidRPr="0001437B">
              <w:t>)</w:t>
            </w:r>
            <w:r w:rsidR="005F330E">
              <w:t xml:space="preserve"> </w:t>
            </w:r>
            <w:r>
              <w:t>capacity enhancements of the</w:t>
            </w:r>
            <w:r w:rsidR="005F330E">
              <w:t xml:space="preserve"> </w:t>
            </w:r>
            <w:r>
              <w:t>A44</w:t>
            </w:r>
            <w:r w:rsidR="00427827">
              <w:t xml:space="preserve"> Bladon roundabout,</w:t>
            </w:r>
            <w:r w:rsidR="005F330E">
              <w:t xml:space="preserve"> </w:t>
            </w:r>
            <w:r w:rsidR="00EE303E" w:rsidRPr="0001437B">
              <w:t>(</w:t>
            </w:r>
            <w:r w:rsidR="00427827">
              <w:t>d</w:t>
            </w:r>
            <w:r w:rsidR="00EE303E" w:rsidRPr="0001437B">
              <w:t>)</w:t>
            </w:r>
            <w:r w:rsidR="00427827">
              <w:t xml:space="preserve"> the widening of</w:t>
            </w:r>
            <w:r w:rsidR="005F330E">
              <w:t xml:space="preserve"> </w:t>
            </w:r>
            <w:r w:rsidR="00427827">
              <w:t>Lower Road</w:t>
            </w:r>
            <w:r w:rsidR="00EE303E" w:rsidRPr="0001437B">
              <w:t xml:space="preserve"> and (</w:t>
            </w:r>
            <w:r w:rsidR="00427827">
              <w:t>f</w:t>
            </w:r>
            <w:r w:rsidR="00EE303E" w:rsidRPr="0001437B">
              <w:t>)</w:t>
            </w:r>
            <w:r w:rsidR="005F330E">
              <w:t xml:space="preserve"> </w:t>
            </w:r>
            <w:r w:rsidR="00427827">
              <w:t xml:space="preserve">the introduction of 40mph limit </w:t>
            </w:r>
            <w:r w:rsidR="00EE303E" w:rsidRPr="0001437B">
              <w:t>have been completed</w:t>
            </w:r>
            <w:r w:rsidR="000872C8">
              <w:t>.</w:t>
            </w:r>
            <w:r w:rsidR="00EE303E" w:rsidRPr="0001437B">
              <w:t xml:space="preserve"> </w:t>
            </w:r>
          </w:p>
          <w:p w:rsidR="00293A6F" w:rsidRPr="0001437B" w:rsidRDefault="00293A6F" w:rsidP="00293A6F"/>
        </w:tc>
      </w:tr>
      <w:tr w:rsidR="00694F8B" w:rsidTr="00293A6F">
        <w:tc>
          <w:tcPr>
            <w:tcW w:w="13705" w:type="dxa"/>
            <w:gridSpan w:val="5"/>
          </w:tcPr>
          <w:p w:rsidR="00694F8B" w:rsidRPr="0001437B" w:rsidRDefault="00694F8B" w:rsidP="00293A6F">
            <w:pPr>
              <w:widowControl w:val="0"/>
            </w:pPr>
            <w:r w:rsidRPr="0001437B">
              <w:rPr>
                <w:b/>
              </w:rPr>
              <w:t xml:space="preserve">Nursery Works </w:t>
            </w:r>
          </w:p>
        </w:tc>
      </w:tr>
      <w:tr w:rsidR="00427827" w:rsidTr="00293A6F">
        <w:tc>
          <w:tcPr>
            <w:tcW w:w="13705" w:type="dxa"/>
            <w:gridSpan w:val="5"/>
          </w:tcPr>
          <w:p w:rsidR="00427827" w:rsidRDefault="00887FD1" w:rsidP="00293A6F">
            <w:pPr>
              <w:widowControl w:val="0"/>
            </w:pPr>
            <w:r>
              <w:rPr>
                <w:szCs w:val="20"/>
              </w:rPr>
              <w:t>Under clause</w:t>
            </w:r>
            <w:r w:rsidR="005F330E">
              <w:rPr>
                <w:szCs w:val="20"/>
              </w:rPr>
              <w:t xml:space="preserve"> </w:t>
            </w:r>
            <w:r>
              <w:rPr>
                <w:szCs w:val="20"/>
              </w:rPr>
              <w:t>6:</w:t>
            </w:r>
            <w:r w:rsidR="005F330E">
              <w:rPr>
                <w:szCs w:val="20"/>
              </w:rPr>
              <w:t xml:space="preserve"> </w:t>
            </w:r>
            <w:r>
              <w:rPr>
                <w:szCs w:val="20"/>
              </w:rPr>
              <w:t>Should</w:t>
            </w:r>
            <w:r w:rsidRPr="0001437B">
              <w:rPr>
                <w:szCs w:val="20"/>
              </w:rPr>
              <w:t xml:space="preserve"> other permissions for residential development</w:t>
            </w:r>
            <w:r w:rsidR="005F330E">
              <w:rPr>
                <w:szCs w:val="20"/>
              </w:rPr>
              <w:t xml:space="preserve"> </w:t>
            </w:r>
            <w:r>
              <w:rPr>
                <w:szCs w:val="20"/>
              </w:rPr>
              <w:t xml:space="preserve">be </w:t>
            </w:r>
            <w:r w:rsidRPr="0001437B">
              <w:rPr>
                <w:szCs w:val="20"/>
              </w:rPr>
              <w:t>granted in the vicinity of this Site the parties will review this Deed and if appropriate enter into a Deed of Variation to</w:t>
            </w:r>
            <w:r w:rsidR="005F330E">
              <w:rPr>
                <w:szCs w:val="20"/>
              </w:rPr>
              <w:t xml:space="preserve"> </w:t>
            </w:r>
            <w:r>
              <w:rPr>
                <w:szCs w:val="20"/>
              </w:rPr>
              <w:t>remove the requirement</w:t>
            </w:r>
            <w:r w:rsidR="005F330E">
              <w:rPr>
                <w:szCs w:val="20"/>
              </w:rPr>
              <w:t xml:space="preserve"> </w:t>
            </w:r>
            <w:r>
              <w:rPr>
                <w:szCs w:val="20"/>
              </w:rPr>
              <w:t>to</w:t>
            </w:r>
            <w:r w:rsidR="005F330E">
              <w:rPr>
                <w:szCs w:val="20"/>
              </w:rPr>
              <w:t xml:space="preserve"> </w:t>
            </w:r>
            <w:r>
              <w:rPr>
                <w:szCs w:val="20"/>
              </w:rPr>
              <w:t>build the</w:t>
            </w:r>
            <w:r w:rsidR="005F330E">
              <w:rPr>
                <w:szCs w:val="20"/>
              </w:rPr>
              <w:t xml:space="preserve"> </w:t>
            </w:r>
            <w:r>
              <w:rPr>
                <w:szCs w:val="20"/>
              </w:rPr>
              <w:t>new nursery and</w:t>
            </w:r>
            <w:r w:rsidR="005F330E">
              <w:rPr>
                <w:szCs w:val="20"/>
              </w:rPr>
              <w:t xml:space="preserve"> </w:t>
            </w:r>
            <w:r w:rsidR="00704683">
              <w:t>substitute</w:t>
            </w:r>
            <w:r w:rsidR="005F330E">
              <w:t xml:space="preserve"> </w:t>
            </w:r>
            <w:r w:rsidR="00704683">
              <w:t xml:space="preserve">alternative </w:t>
            </w:r>
            <w:r>
              <w:t>provisions</w:t>
            </w:r>
            <w:r w:rsidR="00704683">
              <w:t xml:space="preserve">. </w:t>
            </w:r>
          </w:p>
          <w:p w:rsidR="00427827" w:rsidRPr="0001437B" w:rsidRDefault="00704683" w:rsidP="00293A6F">
            <w:pPr>
              <w:widowControl w:val="0"/>
            </w:pPr>
            <w:r>
              <w:lastRenderedPageBreak/>
              <w:t xml:space="preserve"> In the event that the</w:t>
            </w:r>
            <w:r w:rsidR="005F330E">
              <w:t xml:space="preserve"> </w:t>
            </w:r>
            <w:r>
              <w:t>Nursery School</w:t>
            </w:r>
            <w:r w:rsidR="00293A6F">
              <w:t xml:space="preserve"> works </w:t>
            </w:r>
            <w:r>
              <w:t>do</w:t>
            </w:r>
            <w:r w:rsidR="005F330E">
              <w:t xml:space="preserve"> </w:t>
            </w:r>
            <w:r>
              <w:t>proceed, t</w:t>
            </w:r>
            <w:r w:rsidR="00427827" w:rsidRPr="0001437B">
              <w:t>he Owner agrees with the Council not to:</w:t>
            </w:r>
          </w:p>
          <w:p w:rsidR="00427827" w:rsidRPr="0001437B" w:rsidRDefault="00427827" w:rsidP="00293A6F">
            <w:pPr>
              <w:pStyle w:val="ListParagraph"/>
              <w:widowControl w:val="0"/>
              <w:numPr>
                <w:ilvl w:val="0"/>
                <w:numId w:val="8"/>
              </w:numPr>
            </w:pPr>
            <w:r w:rsidRPr="0001437B">
              <w:t>Commence the Nursery School Works until the Nursery School Plan has been submitted</w:t>
            </w:r>
            <w:r w:rsidR="00704683">
              <w:t xml:space="preserve"> to</w:t>
            </w:r>
            <w:r w:rsidR="00293A6F">
              <w:t xml:space="preserve"> </w:t>
            </w:r>
            <w:r w:rsidR="00545181">
              <w:t>and approved by the Council;</w:t>
            </w:r>
          </w:p>
          <w:p w:rsidR="00427827" w:rsidRPr="0001437B" w:rsidRDefault="00704683" w:rsidP="00293A6F">
            <w:pPr>
              <w:pStyle w:val="ListParagraph"/>
              <w:widowControl w:val="0"/>
              <w:numPr>
                <w:ilvl w:val="0"/>
                <w:numId w:val="8"/>
              </w:numPr>
            </w:pPr>
            <w:r>
              <w:t xml:space="preserve">Commence </w:t>
            </w:r>
            <w:r w:rsidR="00427827" w:rsidRPr="0001437B">
              <w:t>Phase 2</w:t>
            </w:r>
            <w:r w:rsidR="00293A6F">
              <w:t xml:space="preserve">  or </w:t>
            </w:r>
            <w:r w:rsidR="00427827" w:rsidRPr="0001437B">
              <w:t xml:space="preserve"> the Nursery School Works until the precise boundaries of the Nurse</w:t>
            </w:r>
            <w:r w:rsidR="00545181">
              <w:t>ry School Site have been agreed;</w:t>
            </w:r>
          </w:p>
          <w:p w:rsidR="00427827" w:rsidRPr="0001437B" w:rsidRDefault="00427827" w:rsidP="00293A6F">
            <w:pPr>
              <w:pStyle w:val="ListParagraph"/>
              <w:widowControl w:val="0"/>
              <w:numPr>
                <w:ilvl w:val="0"/>
                <w:numId w:val="8"/>
              </w:numPr>
            </w:pPr>
            <w:r w:rsidRPr="0001437B">
              <w:t>Occup</w:t>
            </w:r>
            <w:r w:rsidR="00704683">
              <w:t>y</w:t>
            </w:r>
            <w:r w:rsidRPr="0001437B">
              <w:t xml:space="preserve"> more than 90 Dwellings until the Nursery School has been constructed in accordance with the Standard Conditions (Schools) and the Nursery Sc</w:t>
            </w:r>
            <w:r w:rsidR="00545181">
              <w:t>hool Transfer has been executed;</w:t>
            </w:r>
          </w:p>
          <w:p w:rsidR="00427827" w:rsidRPr="0001437B" w:rsidRDefault="00704683" w:rsidP="00293A6F">
            <w:pPr>
              <w:pStyle w:val="ListParagraph"/>
              <w:widowControl w:val="0"/>
              <w:numPr>
                <w:ilvl w:val="0"/>
                <w:numId w:val="8"/>
              </w:numPr>
            </w:pPr>
            <w:r>
              <w:t>Occupy</w:t>
            </w:r>
            <w:r w:rsidR="00427827" w:rsidRPr="0001437B">
              <w:t xml:space="preserve"> more than 100 Dwellings at the Site until the Council has certified</w:t>
            </w:r>
            <w:r>
              <w:t xml:space="preserve"> practical completion of the nursery school</w:t>
            </w:r>
            <w:r w:rsidR="00545181">
              <w:t>;  or</w:t>
            </w:r>
          </w:p>
          <w:p w:rsidR="00427827" w:rsidRPr="0001437B" w:rsidRDefault="00704683" w:rsidP="00293A6F">
            <w:pPr>
              <w:pStyle w:val="ListParagraph"/>
              <w:widowControl w:val="0"/>
              <w:numPr>
                <w:ilvl w:val="0"/>
                <w:numId w:val="8"/>
              </w:numPr>
              <w:rPr>
                <w:szCs w:val="20"/>
              </w:rPr>
            </w:pPr>
            <w:r>
              <w:t>Occupy</w:t>
            </w:r>
            <w:r w:rsidR="00427827" w:rsidRPr="0001437B">
              <w:rPr>
                <w:szCs w:val="20"/>
              </w:rPr>
              <w:t xml:space="preserve"> more than 50 Dwellings until the Building Contract for the</w:t>
            </w:r>
            <w:r w:rsidR="00427827" w:rsidRPr="0001437B">
              <w:rPr>
                <w:rFonts w:cs="Arial"/>
                <w:szCs w:val="20"/>
              </w:rPr>
              <w:t xml:space="preserve"> Nursery School Works</w:t>
            </w:r>
            <w:r w:rsidR="00B370B6">
              <w:rPr>
                <w:rFonts w:cs="Arial"/>
                <w:szCs w:val="20"/>
              </w:rPr>
              <w:t xml:space="preserve"> </w:t>
            </w:r>
            <w:r w:rsidR="00427827" w:rsidRPr="0001437B">
              <w:rPr>
                <w:rFonts w:cs="Arial"/>
                <w:szCs w:val="20"/>
              </w:rPr>
              <w:t>has been let OR if the Developer or Owner is the Building Contractor</w:t>
            </w:r>
            <w:r w:rsidR="00B370B6">
              <w:rPr>
                <w:rFonts w:cs="Arial"/>
                <w:szCs w:val="20"/>
              </w:rPr>
              <w:t xml:space="preserve"> the Council has </w:t>
            </w:r>
            <w:r w:rsidR="00EC6195">
              <w:rPr>
                <w:rFonts w:cs="Arial"/>
                <w:szCs w:val="20"/>
              </w:rPr>
              <w:t>been notified</w:t>
            </w:r>
            <w:r w:rsidR="00B370B6">
              <w:rPr>
                <w:rFonts w:cs="Arial"/>
                <w:szCs w:val="20"/>
              </w:rPr>
              <w:t xml:space="preserve"> of that fact. </w:t>
            </w:r>
          </w:p>
          <w:p w:rsidR="00A272C6" w:rsidRDefault="00A272C6" w:rsidP="00293A6F">
            <w:pPr>
              <w:widowControl w:val="0"/>
            </w:pPr>
          </w:p>
          <w:p w:rsidR="00887FD1" w:rsidRDefault="00A272C6" w:rsidP="00293A6F">
            <w:pPr>
              <w:widowControl w:val="0"/>
            </w:pPr>
            <w:r>
              <w:t xml:space="preserve">The Owner agrees: </w:t>
            </w:r>
          </w:p>
          <w:p w:rsidR="00887FD1" w:rsidRDefault="00A272C6" w:rsidP="00293A6F">
            <w:pPr>
              <w:pStyle w:val="ListParagraph"/>
              <w:widowControl w:val="0"/>
              <w:numPr>
                <w:ilvl w:val="0"/>
                <w:numId w:val="8"/>
              </w:numPr>
            </w:pPr>
            <w:r>
              <w:t xml:space="preserve">6 months </w:t>
            </w:r>
            <w:r w:rsidRPr="00A272C6">
              <w:rPr>
                <w:rFonts w:cs="Arial"/>
                <w:szCs w:val="20"/>
              </w:rPr>
              <w:t>prior</w:t>
            </w:r>
            <w:r>
              <w:t xml:space="preserve"> to</w:t>
            </w:r>
            <w:r w:rsidR="005F330E">
              <w:t xml:space="preserve"> </w:t>
            </w:r>
            <w:r>
              <w:t>the Occupation of the 90</w:t>
            </w:r>
            <w:r w:rsidRPr="00A272C6">
              <w:rPr>
                <w:vertAlign w:val="superscript"/>
              </w:rPr>
              <w:t>th</w:t>
            </w:r>
            <w:r>
              <w:t xml:space="preserve"> Dwelli</w:t>
            </w:r>
            <w:r w:rsidR="00EC6195">
              <w:t>ng to complete the construction</w:t>
            </w:r>
            <w:r>
              <w:t xml:space="preserve"> of:</w:t>
            </w:r>
          </w:p>
          <w:p w:rsidR="00A272C6" w:rsidRDefault="00A272C6" w:rsidP="00293A6F">
            <w:pPr>
              <w:pStyle w:val="ListParagraph"/>
              <w:widowControl w:val="0"/>
              <w:numPr>
                <w:ilvl w:val="1"/>
                <w:numId w:val="8"/>
              </w:numPr>
            </w:pPr>
            <w:r>
              <w:t>Permanent vehicular access to the Nursery</w:t>
            </w:r>
            <w:r w:rsidR="00545181">
              <w:t xml:space="preserve"> (</w:t>
            </w:r>
            <w:r>
              <w:t>to adoption standards)</w:t>
            </w:r>
            <w:r w:rsidR="00EC6195">
              <w:t>; and</w:t>
            </w:r>
            <w:r>
              <w:t xml:space="preserve"> </w:t>
            </w:r>
          </w:p>
          <w:p w:rsidR="00A272C6" w:rsidRDefault="00A272C6" w:rsidP="00293A6F">
            <w:pPr>
              <w:pStyle w:val="ListParagraph"/>
              <w:widowControl w:val="0"/>
              <w:numPr>
                <w:ilvl w:val="1"/>
                <w:numId w:val="8"/>
              </w:numPr>
            </w:pPr>
            <w:r>
              <w:t xml:space="preserve">Cycle and pedestrian </w:t>
            </w:r>
            <w:r w:rsidR="00905EDA">
              <w:t>access across</w:t>
            </w:r>
            <w:r>
              <w:t xml:space="preserve"> the site to the nursery as agreed with the Council to adoption standard (with</w:t>
            </w:r>
            <w:r w:rsidR="005F330E">
              <w:t xml:space="preserve"> </w:t>
            </w:r>
            <w:r>
              <w:t>lighting)</w:t>
            </w:r>
            <w:r w:rsidR="00EC6195">
              <w:t>.</w:t>
            </w:r>
            <w:r>
              <w:t xml:space="preserve"> </w:t>
            </w:r>
          </w:p>
          <w:p w:rsidR="00A272C6" w:rsidRDefault="00A272C6" w:rsidP="00293A6F">
            <w:pPr>
              <w:pStyle w:val="ListParagraph"/>
              <w:widowControl w:val="0"/>
              <w:numPr>
                <w:ilvl w:val="0"/>
                <w:numId w:val="8"/>
              </w:numPr>
            </w:pPr>
            <w:r>
              <w:t xml:space="preserve"> prior to the Occupation of the 90</w:t>
            </w:r>
            <w:r w:rsidRPr="00A272C6">
              <w:rPr>
                <w:vertAlign w:val="superscript"/>
              </w:rPr>
              <w:t>th</w:t>
            </w:r>
            <w:r>
              <w:t xml:space="preserve"> Dwelling to:</w:t>
            </w:r>
          </w:p>
          <w:p w:rsidR="00EC6195" w:rsidRDefault="00A272C6" w:rsidP="00293A6F">
            <w:pPr>
              <w:pStyle w:val="ListParagraph"/>
              <w:widowControl w:val="0"/>
              <w:numPr>
                <w:ilvl w:val="1"/>
                <w:numId w:val="8"/>
              </w:numPr>
            </w:pPr>
            <w:r>
              <w:t>construct pedestrian and cycle access from Plan Tree Way</w:t>
            </w:r>
            <w:r w:rsidR="005F330E">
              <w:t xml:space="preserve"> </w:t>
            </w:r>
            <w:r>
              <w:t>and from</w:t>
            </w:r>
            <w:r w:rsidR="005F330E">
              <w:t xml:space="preserve"> </w:t>
            </w:r>
            <w:r>
              <w:t xml:space="preserve">the land to the rear of Flemings Road and Hedge End </w:t>
            </w:r>
            <w:r w:rsidR="00EC6195">
              <w:t>to adoption standard (with</w:t>
            </w:r>
            <w:r w:rsidR="005F330E">
              <w:t xml:space="preserve"> </w:t>
            </w:r>
            <w:r w:rsidR="00EC6195">
              <w:t>lighting)</w:t>
            </w:r>
            <w:r w:rsidR="00EC6195">
              <w:t>; and</w:t>
            </w:r>
            <w:r w:rsidR="00EC6195">
              <w:t xml:space="preserve"> </w:t>
            </w:r>
          </w:p>
          <w:p w:rsidR="00EC6195" w:rsidRDefault="00EC6195" w:rsidP="00293A6F">
            <w:pPr>
              <w:pStyle w:val="ListParagraph"/>
              <w:widowControl w:val="0"/>
              <w:numPr>
                <w:ilvl w:val="1"/>
                <w:numId w:val="8"/>
              </w:numPr>
            </w:pPr>
            <w:r>
              <w:t>design the road network</w:t>
            </w:r>
            <w:r w:rsidR="005F330E">
              <w:t xml:space="preserve"> </w:t>
            </w:r>
            <w:r>
              <w:t>in the vicinity of the nursery</w:t>
            </w:r>
            <w:r w:rsidR="00545181">
              <w:t>.</w:t>
            </w:r>
          </w:p>
          <w:p w:rsidR="00EC6195" w:rsidRDefault="00EC6195" w:rsidP="00293A6F">
            <w:pPr>
              <w:widowControl w:val="0"/>
            </w:pPr>
          </w:p>
          <w:p w:rsidR="00A272C6" w:rsidRDefault="00EC6195" w:rsidP="00293A6F">
            <w:pPr>
              <w:widowControl w:val="0"/>
            </w:pPr>
            <w:r>
              <w:t xml:space="preserve"> The Owner and the</w:t>
            </w:r>
            <w:r w:rsidR="005F330E">
              <w:t xml:space="preserve"> </w:t>
            </w:r>
            <w:r>
              <w:t>Developer</w:t>
            </w:r>
            <w:r w:rsidR="005F330E">
              <w:t xml:space="preserve"> </w:t>
            </w:r>
            <w:r w:rsidR="00374960">
              <w:t>agree:</w:t>
            </w:r>
          </w:p>
          <w:p w:rsidR="00374960" w:rsidRDefault="00374960" w:rsidP="00293A6F">
            <w:pPr>
              <w:pStyle w:val="ListParagraph"/>
              <w:widowControl w:val="0"/>
              <w:numPr>
                <w:ilvl w:val="0"/>
                <w:numId w:val="13"/>
              </w:numPr>
            </w:pPr>
            <w:r>
              <w:t>Not to allow any</w:t>
            </w:r>
            <w:r w:rsidR="005F330E">
              <w:t xml:space="preserve"> </w:t>
            </w:r>
            <w:r>
              <w:t>drainage to</w:t>
            </w:r>
            <w:r w:rsidR="005F330E">
              <w:t xml:space="preserve"> </w:t>
            </w:r>
            <w:r>
              <w:t>be directed to the nursery school site</w:t>
            </w:r>
          </w:p>
          <w:p w:rsidR="00374960" w:rsidRDefault="00374960" w:rsidP="00293A6F">
            <w:pPr>
              <w:pStyle w:val="ListParagraph"/>
              <w:widowControl w:val="0"/>
              <w:numPr>
                <w:ilvl w:val="0"/>
                <w:numId w:val="13"/>
              </w:numPr>
            </w:pPr>
            <w:r>
              <w:t>Not to erect any mobile phone mast</w:t>
            </w:r>
            <w:r w:rsidR="005F330E">
              <w:t xml:space="preserve"> </w:t>
            </w:r>
            <w:r>
              <w:t>with 200 metres of</w:t>
            </w:r>
            <w:r w:rsidR="005F330E">
              <w:t xml:space="preserve"> </w:t>
            </w:r>
            <w:r>
              <w:t>the</w:t>
            </w:r>
            <w:r w:rsidR="005F330E">
              <w:t xml:space="preserve"> </w:t>
            </w:r>
            <w:r>
              <w:t xml:space="preserve">nursery school boundary; </w:t>
            </w:r>
          </w:p>
          <w:p w:rsidR="00374960" w:rsidRDefault="00374960" w:rsidP="00293A6F">
            <w:pPr>
              <w:pStyle w:val="ListParagraph"/>
              <w:widowControl w:val="0"/>
              <w:numPr>
                <w:ilvl w:val="0"/>
                <w:numId w:val="13"/>
              </w:numPr>
            </w:pPr>
            <w:r>
              <w:t xml:space="preserve">Not to </w:t>
            </w:r>
            <w:r w:rsidR="00545181">
              <w:t>a</w:t>
            </w:r>
            <w:r>
              <w:t>lter the levels on the nursery school site and</w:t>
            </w:r>
            <w:r w:rsidR="005F330E">
              <w:t xml:space="preserve"> </w:t>
            </w:r>
            <w:r>
              <w:t>within 10 meters other than (1) in accordance</w:t>
            </w:r>
            <w:r w:rsidR="005F330E">
              <w:t xml:space="preserve"> </w:t>
            </w:r>
            <w:r>
              <w:t>with the</w:t>
            </w:r>
            <w:r w:rsidR="005F330E">
              <w:t xml:space="preserve"> </w:t>
            </w:r>
            <w:r>
              <w:t>levels</w:t>
            </w:r>
            <w:r w:rsidR="005F330E">
              <w:t xml:space="preserve"> </w:t>
            </w:r>
            <w:r>
              <w:t>scheme in the standard conditions (schools) or (2) by agreement with the Council;</w:t>
            </w:r>
          </w:p>
          <w:p w:rsidR="00374960" w:rsidRDefault="00374960" w:rsidP="00293A6F">
            <w:pPr>
              <w:pStyle w:val="ListParagraph"/>
              <w:widowControl w:val="0"/>
              <w:numPr>
                <w:ilvl w:val="0"/>
                <w:numId w:val="13"/>
              </w:numPr>
            </w:pPr>
            <w:r>
              <w:t>To</w:t>
            </w:r>
            <w:r w:rsidR="005F330E">
              <w:t xml:space="preserve"> </w:t>
            </w:r>
            <w:r>
              <w:t>relocate (at their own cost) any overhead cables</w:t>
            </w:r>
            <w:r w:rsidR="005F330E">
              <w:t xml:space="preserve"> </w:t>
            </w:r>
            <w:r>
              <w:t>over the nursery</w:t>
            </w:r>
            <w:r w:rsidR="005F330E">
              <w:t xml:space="preserve"> </w:t>
            </w:r>
            <w:r>
              <w:t>site or with 50 metres of</w:t>
            </w:r>
            <w:r w:rsidR="005F330E">
              <w:t xml:space="preserve"> </w:t>
            </w:r>
            <w:r>
              <w:t>it</w:t>
            </w:r>
            <w:r w:rsidR="00F14D3D">
              <w:t xml:space="preserve"> and any underground cable</w:t>
            </w:r>
            <w:r w:rsidR="005F330E">
              <w:t xml:space="preserve"> </w:t>
            </w:r>
            <w:r w:rsidR="00F14D3D">
              <w:t>under the site oir within 5 metres of</w:t>
            </w:r>
            <w:r w:rsidR="005F330E">
              <w:t xml:space="preserve"> </w:t>
            </w:r>
            <w:r w:rsidR="00F14D3D">
              <w:t xml:space="preserve">it; </w:t>
            </w:r>
            <w:r w:rsidR="00545181">
              <w:t xml:space="preserve"> and</w:t>
            </w:r>
          </w:p>
          <w:p w:rsidR="00F14D3D" w:rsidRDefault="00F14D3D" w:rsidP="00293A6F">
            <w:pPr>
              <w:pStyle w:val="ListParagraph"/>
              <w:widowControl w:val="0"/>
              <w:numPr>
                <w:ilvl w:val="0"/>
                <w:numId w:val="13"/>
              </w:numPr>
            </w:pPr>
            <w:r>
              <w:t>To pay £2000 to the</w:t>
            </w:r>
            <w:r w:rsidR="005F330E">
              <w:t xml:space="preserve"> </w:t>
            </w:r>
            <w:r>
              <w:t>Council for the</w:t>
            </w:r>
            <w:r w:rsidR="005F330E">
              <w:t xml:space="preserve"> </w:t>
            </w:r>
            <w:r>
              <w:t>nursery provider</w:t>
            </w:r>
            <w:r w:rsidR="005F330E">
              <w:t xml:space="preserve"> </w:t>
            </w:r>
            <w:r>
              <w:t>to relocate to the new</w:t>
            </w:r>
            <w:r w:rsidR="005F330E">
              <w:t xml:space="preserve"> </w:t>
            </w:r>
            <w:r>
              <w:t>premises</w:t>
            </w:r>
            <w:r w:rsidR="00545181">
              <w:t>.</w:t>
            </w:r>
          </w:p>
          <w:p w:rsidR="00374960" w:rsidRDefault="00374960" w:rsidP="00293A6F">
            <w:pPr>
              <w:widowControl w:val="0"/>
            </w:pPr>
            <w:r>
              <w:t xml:space="preserve"> </w:t>
            </w:r>
          </w:p>
          <w:p w:rsidR="00374960" w:rsidRDefault="00F14D3D" w:rsidP="00293A6F">
            <w:pPr>
              <w:widowControl w:val="0"/>
            </w:pPr>
            <w:r>
              <w:t xml:space="preserve"> The agreement </w:t>
            </w:r>
            <w:r w:rsidR="008F67E2">
              <w:t xml:space="preserve">also </w:t>
            </w:r>
            <w:r w:rsidR="00905EDA">
              <w:t>contains provisions</w:t>
            </w:r>
            <w:r w:rsidR="005F330E">
              <w:t xml:space="preserve"> </w:t>
            </w:r>
            <w:r>
              <w:t>in respect</w:t>
            </w:r>
            <w:r w:rsidR="005F330E">
              <w:t xml:space="preserve"> </w:t>
            </w:r>
            <w:r>
              <w:t>of the Nursery</w:t>
            </w:r>
            <w:r w:rsidR="005F330E">
              <w:t xml:space="preserve"> </w:t>
            </w:r>
            <w:r>
              <w:t>school</w:t>
            </w:r>
            <w:r w:rsidR="005F330E">
              <w:t xml:space="preserve"> </w:t>
            </w:r>
            <w:r>
              <w:t xml:space="preserve">transfer in Part 2 of the Schedule. </w:t>
            </w:r>
          </w:p>
          <w:p w:rsidR="00427827" w:rsidRPr="0001437B" w:rsidRDefault="00427827" w:rsidP="00293A6F">
            <w:pPr>
              <w:widowControl w:val="0"/>
            </w:pPr>
          </w:p>
        </w:tc>
      </w:tr>
      <w:tr w:rsidR="008F67E2" w:rsidTr="00C65BCB">
        <w:trPr>
          <w:trHeight w:val="406"/>
        </w:trPr>
        <w:tc>
          <w:tcPr>
            <w:tcW w:w="13705" w:type="dxa"/>
            <w:gridSpan w:val="5"/>
            <w:shd w:val="clear" w:color="auto" w:fill="BFBFBF" w:themeFill="background1" w:themeFillShade="BF"/>
          </w:tcPr>
          <w:p w:rsidR="008F67E2" w:rsidRPr="008F67E2" w:rsidRDefault="008F67E2" w:rsidP="008F67E2">
            <w:pPr>
              <w:jc w:val="center"/>
              <w:rPr>
                <w:b/>
              </w:rPr>
            </w:pPr>
            <w:r w:rsidRPr="008F67E2">
              <w:rPr>
                <w:b/>
              </w:rPr>
              <w:lastRenderedPageBreak/>
              <w:t>OTHER</w:t>
            </w:r>
          </w:p>
        </w:tc>
      </w:tr>
      <w:tr w:rsidR="003D3A1C" w:rsidTr="00374960">
        <w:trPr>
          <w:trHeight w:val="595"/>
        </w:trPr>
        <w:tc>
          <w:tcPr>
            <w:tcW w:w="1985" w:type="dxa"/>
          </w:tcPr>
          <w:p w:rsidR="003D3A1C" w:rsidRDefault="003D3A1C" w:rsidP="00E47B6B">
            <w:pPr>
              <w:rPr>
                <w:b/>
              </w:rPr>
            </w:pPr>
            <w:r>
              <w:rPr>
                <w:b/>
              </w:rPr>
              <w:t xml:space="preserve">Long Stop for repayment </w:t>
            </w:r>
          </w:p>
        </w:tc>
        <w:tc>
          <w:tcPr>
            <w:tcW w:w="11720" w:type="dxa"/>
            <w:gridSpan w:val="4"/>
          </w:tcPr>
          <w:p w:rsidR="003D3A1C" w:rsidRPr="0001437B" w:rsidRDefault="002B116C" w:rsidP="00F14D3D">
            <w:r w:rsidRPr="0001437B">
              <w:t>10 Years</w:t>
            </w:r>
            <w:r w:rsidR="0001437B" w:rsidRPr="0001437B">
              <w:t xml:space="preserve"> </w:t>
            </w:r>
          </w:p>
        </w:tc>
      </w:tr>
      <w:tr w:rsidR="003D3A1C" w:rsidTr="00374960">
        <w:trPr>
          <w:trHeight w:val="1470"/>
        </w:trPr>
        <w:tc>
          <w:tcPr>
            <w:tcW w:w="1985" w:type="dxa"/>
          </w:tcPr>
          <w:p w:rsidR="003D3A1C" w:rsidRDefault="003D3A1C" w:rsidP="00E47B6B">
            <w:pPr>
              <w:rPr>
                <w:b/>
              </w:rPr>
            </w:pPr>
            <w:r>
              <w:rPr>
                <w:b/>
              </w:rPr>
              <w:t xml:space="preserve">Monitoring fee </w:t>
            </w:r>
          </w:p>
        </w:tc>
        <w:tc>
          <w:tcPr>
            <w:tcW w:w="11720" w:type="dxa"/>
            <w:gridSpan w:val="4"/>
          </w:tcPr>
          <w:p w:rsidR="00CA6AFA" w:rsidRPr="0001437B" w:rsidRDefault="00CA6AFA" w:rsidP="00CA6AFA">
            <w:pPr>
              <w:rPr>
                <w:szCs w:val="20"/>
              </w:rPr>
            </w:pPr>
            <w:r w:rsidRPr="0001437B">
              <w:rPr>
                <w:szCs w:val="20"/>
              </w:rPr>
              <w:t>Sum of £10,900.00 payable in two payments being:</w:t>
            </w:r>
          </w:p>
          <w:p w:rsidR="00CA6AFA" w:rsidRPr="0001437B" w:rsidRDefault="00CA6AFA" w:rsidP="00CA6AFA">
            <w:pPr>
              <w:rPr>
                <w:szCs w:val="20"/>
              </w:rPr>
            </w:pPr>
          </w:p>
          <w:p w:rsidR="00F14D3D" w:rsidRDefault="00CA6AFA" w:rsidP="00F5689C">
            <w:pPr>
              <w:pStyle w:val="ListParagraph"/>
              <w:numPr>
                <w:ilvl w:val="0"/>
                <w:numId w:val="6"/>
              </w:numPr>
              <w:rPr>
                <w:szCs w:val="20"/>
              </w:rPr>
            </w:pPr>
            <w:r w:rsidRPr="00F14D3D">
              <w:rPr>
                <w:szCs w:val="20"/>
              </w:rPr>
              <w:t>£1,500.00 -</w:t>
            </w:r>
            <w:r w:rsidR="005F330E">
              <w:rPr>
                <w:szCs w:val="20"/>
              </w:rPr>
              <w:t xml:space="preserve"> </w:t>
            </w:r>
            <w:r w:rsidR="00F14D3D">
              <w:rPr>
                <w:szCs w:val="20"/>
              </w:rPr>
              <w:t>PAID</w:t>
            </w:r>
            <w:r w:rsidR="005F330E">
              <w:rPr>
                <w:szCs w:val="20"/>
              </w:rPr>
              <w:t xml:space="preserve"> </w:t>
            </w:r>
            <w:r w:rsidR="00F14D3D">
              <w:rPr>
                <w:szCs w:val="20"/>
              </w:rPr>
              <w:t>on completion</w:t>
            </w:r>
            <w:r w:rsidR="00545181">
              <w:rPr>
                <w:szCs w:val="20"/>
              </w:rPr>
              <w:t>; and</w:t>
            </w:r>
            <w:r w:rsidR="00F14D3D">
              <w:rPr>
                <w:szCs w:val="20"/>
              </w:rPr>
              <w:t xml:space="preserve"> </w:t>
            </w:r>
          </w:p>
          <w:p w:rsidR="00CA6AFA" w:rsidRPr="00F14D3D" w:rsidRDefault="008F67E2" w:rsidP="00F5689C">
            <w:pPr>
              <w:pStyle w:val="ListParagraph"/>
              <w:numPr>
                <w:ilvl w:val="0"/>
                <w:numId w:val="6"/>
              </w:numPr>
              <w:rPr>
                <w:szCs w:val="20"/>
              </w:rPr>
            </w:pPr>
            <w:r>
              <w:rPr>
                <w:szCs w:val="20"/>
              </w:rPr>
              <w:t>£9,400.00 -</w:t>
            </w:r>
            <w:r w:rsidR="005F330E">
              <w:rPr>
                <w:szCs w:val="20"/>
              </w:rPr>
              <w:t xml:space="preserve"> </w:t>
            </w:r>
            <w:r>
              <w:rPr>
                <w:szCs w:val="20"/>
              </w:rPr>
              <w:t>payable on commencement</w:t>
            </w:r>
            <w:r w:rsidR="00545181">
              <w:rPr>
                <w:szCs w:val="20"/>
              </w:rPr>
              <w:t>.</w:t>
            </w:r>
            <w:r w:rsidR="00CA6AFA" w:rsidRPr="00F14D3D">
              <w:rPr>
                <w:szCs w:val="20"/>
              </w:rPr>
              <w:t xml:space="preserve"> </w:t>
            </w:r>
          </w:p>
          <w:p w:rsidR="003D3A1C" w:rsidRPr="0001437B" w:rsidRDefault="003D3A1C" w:rsidP="00E47B6B"/>
        </w:tc>
      </w:tr>
      <w:tr w:rsidR="008F67E2" w:rsidTr="008F67E2">
        <w:trPr>
          <w:trHeight w:val="749"/>
        </w:trPr>
        <w:tc>
          <w:tcPr>
            <w:tcW w:w="1985" w:type="dxa"/>
          </w:tcPr>
          <w:p w:rsidR="008F67E2" w:rsidRDefault="008F67E2" w:rsidP="008F67E2">
            <w:pPr>
              <w:rPr>
                <w:b/>
              </w:rPr>
            </w:pPr>
            <w:r>
              <w:rPr>
                <w:b/>
              </w:rPr>
              <w:t xml:space="preserve"> Deed of Covenant </w:t>
            </w:r>
          </w:p>
        </w:tc>
        <w:tc>
          <w:tcPr>
            <w:tcW w:w="11720" w:type="dxa"/>
            <w:gridSpan w:val="4"/>
          </w:tcPr>
          <w:p w:rsidR="008F67E2" w:rsidRPr="0001437B" w:rsidRDefault="008F67E2" w:rsidP="00545181">
            <w:pPr>
              <w:rPr>
                <w:szCs w:val="20"/>
              </w:rPr>
            </w:pPr>
            <w:r>
              <w:rPr>
                <w:szCs w:val="20"/>
              </w:rPr>
              <w:t>Not to</w:t>
            </w:r>
            <w:r w:rsidR="005F330E">
              <w:rPr>
                <w:szCs w:val="20"/>
              </w:rPr>
              <w:t xml:space="preserve"> </w:t>
            </w:r>
            <w:r>
              <w:rPr>
                <w:szCs w:val="20"/>
              </w:rPr>
              <w:t>dispose of any</w:t>
            </w:r>
            <w:r w:rsidR="005F330E">
              <w:rPr>
                <w:szCs w:val="20"/>
              </w:rPr>
              <w:t xml:space="preserve"> </w:t>
            </w:r>
            <w:r>
              <w:rPr>
                <w:szCs w:val="20"/>
              </w:rPr>
              <w:t>interest</w:t>
            </w:r>
            <w:r w:rsidR="005F330E">
              <w:rPr>
                <w:szCs w:val="20"/>
              </w:rPr>
              <w:t xml:space="preserve"> </w:t>
            </w:r>
            <w:r>
              <w:rPr>
                <w:szCs w:val="20"/>
              </w:rPr>
              <w:t>in the</w:t>
            </w:r>
            <w:r w:rsidR="005F330E">
              <w:rPr>
                <w:szCs w:val="20"/>
              </w:rPr>
              <w:t xml:space="preserve"> </w:t>
            </w:r>
            <w:r>
              <w:rPr>
                <w:szCs w:val="20"/>
              </w:rPr>
              <w:t>site without first</w:t>
            </w:r>
            <w:r w:rsidR="005F330E">
              <w:rPr>
                <w:szCs w:val="20"/>
              </w:rPr>
              <w:t xml:space="preserve"> </w:t>
            </w:r>
            <w:r>
              <w:rPr>
                <w:szCs w:val="20"/>
              </w:rPr>
              <w:t>procuring a deed of</w:t>
            </w:r>
            <w:r w:rsidR="005F330E">
              <w:rPr>
                <w:szCs w:val="20"/>
              </w:rPr>
              <w:t xml:space="preserve"> </w:t>
            </w:r>
            <w:r>
              <w:rPr>
                <w:szCs w:val="20"/>
              </w:rPr>
              <w:t>covenant in the form annexed to ensure</w:t>
            </w:r>
            <w:r w:rsidR="005F330E">
              <w:rPr>
                <w:szCs w:val="20"/>
              </w:rPr>
              <w:t xml:space="preserve"> </w:t>
            </w:r>
            <w:r>
              <w:rPr>
                <w:szCs w:val="20"/>
              </w:rPr>
              <w:t>that the new</w:t>
            </w:r>
            <w:r w:rsidR="005F330E">
              <w:rPr>
                <w:szCs w:val="20"/>
              </w:rPr>
              <w:t xml:space="preserve"> </w:t>
            </w:r>
            <w:r>
              <w:rPr>
                <w:szCs w:val="20"/>
              </w:rPr>
              <w:t>owner will comply</w:t>
            </w:r>
            <w:r w:rsidR="005F330E">
              <w:rPr>
                <w:szCs w:val="20"/>
              </w:rPr>
              <w:t xml:space="preserve"> </w:t>
            </w:r>
            <w:r>
              <w:rPr>
                <w:szCs w:val="20"/>
              </w:rPr>
              <w:t>with the</w:t>
            </w:r>
            <w:r w:rsidR="005F330E">
              <w:rPr>
                <w:szCs w:val="20"/>
              </w:rPr>
              <w:t xml:space="preserve"> </w:t>
            </w:r>
            <w:r>
              <w:rPr>
                <w:szCs w:val="20"/>
              </w:rPr>
              <w:t xml:space="preserve">requirement of the </w:t>
            </w:r>
            <w:r w:rsidR="00545181">
              <w:rPr>
                <w:szCs w:val="20"/>
              </w:rPr>
              <w:t xml:space="preserve"> agreement.</w:t>
            </w:r>
          </w:p>
        </w:tc>
      </w:tr>
    </w:tbl>
    <w:p w:rsidR="00CD2352" w:rsidRPr="001C382B" w:rsidRDefault="00CD2352" w:rsidP="002F26CD">
      <w:pPr>
        <w:rPr>
          <w:rFonts w:cs="Arial"/>
          <w:szCs w:val="20"/>
        </w:rPr>
      </w:pPr>
    </w:p>
    <w:sectPr w:rsidR="00CD2352" w:rsidRPr="001C382B" w:rsidSect="008F67E2">
      <w:footerReference w:type="default" r:id="rId7"/>
      <w:headerReference w:type="first" r:id="rId8"/>
      <w:pgSz w:w="16840" w:h="11907" w:orient="landscape"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E2" w:rsidRDefault="008F67E2" w:rsidP="008F67E2">
      <w:pPr>
        <w:spacing w:line="240" w:lineRule="auto"/>
      </w:pPr>
      <w:r>
        <w:separator/>
      </w:r>
    </w:p>
  </w:endnote>
  <w:endnote w:type="continuationSeparator" w:id="0">
    <w:p w:rsidR="008F67E2" w:rsidRDefault="008F67E2" w:rsidP="008F6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18438"/>
      <w:docPartObj>
        <w:docPartGallery w:val="Page Numbers (Bottom of Page)"/>
        <w:docPartUnique/>
      </w:docPartObj>
    </w:sdtPr>
    <w:sdtEndPr>
      <w:rPr>
        <w:noProof/>
      </w:rPr>
    </w:sdtEndPr>
    <w:sdtContent>
      <w:p w:rsidR="008F67E2" w:rsidRDefault="008F67E2">
        <w:pPr>
          <w:pStyle w:val="Footer"/>
          <w:jc w:val="center"/>
        </w:pPr>
        <w:r>
          <w:fldChar w:fldCharType="begin"/>
        </w:r>
        <w:r>
          <w:instrText xml:space="preserve"> PAGE   \* MERGEFORMAT </w:instrText>
        </w:r>
        <w:r>
          <w:fldChar w:fldCharType="separate"/>
        </w:r>
        <w:r w:rsidR="000872C8">
          <w:rPr>
            <w:noProof/>
          </w:rPr>
          <w:t>2</w:t>
        </w:r>
        <w:r>
          <w:rPr>
            <w:noProof/>
          </w:rPr>
          <w:fldChar w:fldCharType="end"/>
        </w:r>
      </w:p>
    </w:sdtContent>
  </w:sdt>
  <w:p w:rsidR="008F67E2" w:rsidRDefault="008F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E2" w:rsidRDefault="008F67E2" w:rsidP="008F67E2">
      <w:pPr>
        <w:spacing w:line="240" w:lineRule="auto"/>
      </w:pPr>
      <w:r>
        <w:separator/>
      </w:r>
    </w:p>
  </w:footnote>
  <w:footnote w:type="continuationSeparator" w:id="0">
    <w:p w:rsidR="008F67E2" w:rsidRDefault="008F67E2" w:rsidP="008F6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E2" w:rsidRPr="00D97C06" w:rsidRDefault="008F67E2" w:rsidP="008F67E2">
    <w:pPr>
      <w:pStyle w:val="Header"/>
      <w:jc w:val="center"/>
      <w:rPr>
        <w:b/>
        <w:sz w:val="24"/>
      </w:rPr>
    </w:pPr>
    <w:r w:rsidRPr="00D97C06">
      <w:rPr>
        <w:b/>
        <w:sz w:val="24"/>
      </w:rPr>
      <w:t>Summary of Section 106 Agreement with the County Council relating to</w:t>
    </w:r>
    <w:r w:rsidR="00D97C06" w:rsidRPr="00D97C06">
      <w:rPr>
        <w:b/>
        <w:sz w:val="24"/>
      </w:rPr>
      <w:t xml:space="preserve"> the Development at Woodstock East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680"/>
    <w:multiLevelType w:val="hybridMultilevel"/>
    <w:tmpl w:val="488440C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9EE"/>
    <w:multiLevelType w:val="hybridMultilevel"/>
    <w:tmpl w:val="576C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A50FB"/>
    <w:multiLevelType w:val="hybridMultilevel"/>
    <w:tmpl w:val="D11491AC"/>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3" w15:restartNumberingAfterBreak="0">
    <w:nsid w:val="2A263A2D"/>
    <w:multiLevelType w:val="hybridMultilevel"/>
    <w:tmpl w:val="12F4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0F47"/>
    <w:multiLevelType w:val="hybridMultilevel"/>
    <w:tmpl w:val="79620B7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2E12E1B"/>
    <w:multiLevelType w:val="hybridMultilevel"/>
    <w:tmpl w:val="1CA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4CA3"/>
    <w:multiLevelType w:val="hybridMultilevel"/>
    <w:tmpl w:val="ACE8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F4ECB"/>
    <w:multiLevelType w:val="hybridMultilevel"/>
    <w:tmpl w:val="4ECE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16D4C"/>
    <w:multiLevelType w:val="multilevel"/>
    <w:tmpl w:val="C87837C2"/>
    <w:lvl w:ilvl="0">
      <w:start w:val="2"/>
      <w:numFmt w:val="decimal"/>
      <w:lvlText w:val="%1."/>
      <w:lvlJc w:val="left"/>
      <w:pPr>
        <w:ind w:left="360" w:hanging="360"/>
      </w:pPr>
      <w:rPr>
        <w:rFonts w:hint="default"/>
      </w:rPr>
    </w:lvl>
    <w:lvl w:ilvl="1">
      <w:start w:val="1"/>
      <w:numFmt w:val="decimal"/>
      <w:lvlText w:val="%1.%2."/>
      <w:lvlJc w:val="left"/>
      <w:pPr>
        <w:ind w:left="369" w:firstLine="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A336DD"/>
    <w:multiLevelType w:val="hybridMultilevel"/>
    <w:tmpl w:val="51BAD9B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37D63"/>
    <w:multiLevelType w:val="hybridMultilevel"/>
    <w:tmpl w:val="1C34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703BF"/>
    <w:multiLevelType w:val="hybridMultilevel"/>
    <w:tmpl w:val="C22C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2981"/>
    <w:multiLevelType w:val="hybridMultilevel"/>
    <w:tmpl w:val="1A9E9C0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11"/>
  </w:num>
  <w:num w:numId="8">
    <w:abstractNumId w:val="10"/>
  </w:num>
  <w:num w:numId="9">
    <w:abstractNumId w:val="8"/>
  </w:num>
  <w:num w:numId="10">
    <w:abstractNumId w:val="1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1C"/>
    <w:rsid w:val="0000515D"/>
    <w:rsid w:val="000101E5"/>
    <w:rsid w:val="0001437B"/>
    <w:rsid w:val="00014B5E"/>
    <w:rsid w:val="00016A0B"/>
    <w:rsid w:val="000224E9"/>
    <w:rsid w:val="00024F68"/>
    <w:rsid w:val="00025AE9"/>
    <w:rsid w:val="000306E6"/>
    <w:rsid w:val="000310F7"/>
    <w:rsid w:val="000346C5"/>
    <w:rsid w:val="00034BBB"/>
    <w:rsid w:val="0003568A"/>
    <w:rsid w:val="0005259D"/>
    <w:rsid w:val="00062CBA"/>
    <w:rsid w:val="00065015"/>
    <w:rsid w:val="00070201"/>
    <w:rsid w:val="000775E0"/>
    <w:rsid w:val="00083976"/>
    <w:rsid w:val="00085A76"/>
    <w:rsid w:val="00086D12"/>
    <w:rsid w:val="000872C8"/>
    <w:rsid w:val="0008743E"/>
    <w:rsid w:val="00091A0B"/>
    <w:rsid w:val="00091D4C"/>
    <w:rsid w:val="000A07EB"/>
    <w:rsid w:val="000A3497"/>
    <w:rsid w:val="000A428C"/>
    <w:rsid w:val="000A43B6"/>
    <w:rsid w:val="000A6974"/>
    <w:rsid w:val="000A70D7"/>
    <w:rsid w:val="000B3A4D"/>
    <w:rsid w:val="000B5021"/>
    <w:rsid w:val="000C0D2C"/>
    <w:rsid w:val="000D1CCF"/>
    <w:rsid w:val="000D7A92"/>
    <w:rsid w:val="000E001C"/>
    <w:rsid w:val="000E6C24"/>
    <w:rsid w:val="000F00BE"/>
    <w:rsid w:val="000F19E4"/>
    <w:rsid w:val="000F278C"/>
    <w:rsid w:val="000F4311"/>
    <w:rsid w:val="000F69E4"/>
    <w:rsid w:val="000F7E76"/>
    <w:rsid w:val="00100176"/>
    <w:rsid w:val="00106E8F"/>
    <w:rsid w:val="00114DC0"/>
    <w:rsid w:val="00115459"/>
    <w:rsid w:val="001211B4"/>
    <w:rsid w:val="00125FE3"/>
    <w:rsid w:val="00136FC3"/>
    <w:rsid w:val="00140358"/>
    <w:rsid w:val="001434E9"/>
    <w:rsid w:val="00143C76"/>
    <w:rsid w:val="00146DDE"/>
    <w:rsid w:val="00147C69"/>
    <w:rsid w:val="001623F4"/>
    <w:rsid w:val="00164D87"/>
    <w:rsid w:val="00170268"/>
    <w:rsid w:val="00172007"/>
    <w:rsid w:val="001729BE"/>
    <w:rsid w:val="001774DB"/>
    <w:rsid w:val="00180800"/>
    <w:rsid w:val="00187538"/>
    <w:rsid w:val="00187AD6"/>
    <w:rsid w:val="001924AE"/>
    <w:rsid w:val="0019362C"/>
    <w:rsid w:val="00195DED"/>
    <w:rsid w:val="001A04B7"/>
    <w:rsid w:val="001A1D5E"/>
    <w:rsid w:val="001A2F67"/>
    <w:rsid w:val="001A39AE"/>
    <w:rsid w:val="001A5081"/>
    <w:rsid w:val="001A54FC"/>
    <w:rsid w:val="001B6AF9"/>
    <w:rsid w:val="001C2049"/>
    <w:rsid w:val="001C3185"/>
    <w:rsid w:val="001C3418"/>
    <w:rsid w:val="001C382B"/>
    <w:rsid w:val="001C543F"/>
    <w:rsid w:val="001D34A6"/>
    <w:rsid w:val="001E6561"/>
    <w:rsid w:val="00200C77"/>
    <w:rsid w:val="00203CBB"/>
    <w:rsid w:val="00205123"/>
    <w:rsid w:val="00205797"/>
    <w:rsid w:val="0020662C"/>
    <w:rsid w:val="00211728"/>
    <w:rsid w:val="00215F9A"/>
    <w:rsid w:val="00220894"/>
    <w:rsid w:val="002229EF"/>
    <w:rsid w:val="00223CA9"/>
    <w:rsid w:val="002338E1"/>
    <w:rsid w:val="00237BAC"/>
    <w:rsid w:val="00241252"/>
    <w:rsid w:val="00242088"/>
    <w:rsid w:val="002461EF"/>
    <w:rsid w:val="0024760A"/>
    <w:rsid w:val="0024779C"/>
    <w:rsid w:val="002511CF"/>
    <w:rsid w:val="002519D6"/>
    <w:rsid w:val="00254EEA"/>
    <w:rsid w:val="00261356"/>
    <w:rsid w:val="00265611"/>
    <w:rsid w:val="002710AF"/>
    <w:rsid w:val="002727DF"/>
    <w:rsid w:val="00273820"/>
    <w:rsid w:val="002920E8"/>
    <w:rsid w:val="00293A6F"/>
    <w:rsid w:val="00297517"/>
    <w:rsid w:val="002A0CF7"/>
    <w:rsid w:val="002B116C"/>
    <w:rsid w:val="002B546F"/>
    <w:rsid w:val="002B5F7E"/>
    <w:rsid w:val="002B64A4"/>
    <w:rsid w:val="002B706E"/>
    <w:rsid w:val="002D344E"/>
    <w:rsid w:val="002D4A5D"/>
    <w:rsid w:val="002D5ED0"/>
    <w:rsid w:val="002D7B92"/>
    <w:rsid w:val="002E586E"/>
    <w:rsid w:val="002F0164"/>
    <w:rsid w:val="002F0B13"/>
    <w:rsid w:val="002F1246"/>
    <w:rsid w:val="002F26CD"/>
    <w:rsid w:val="002F452C"/>
    <w:rsid w:val="00301633"/>
    <w:rsid w:val="00302C8E"/>
    <w:rsid w:val="00304D4A"/>
    <w:rsid w:val="00312352"/>
    <w:rsid w:val="00314B69"/>
    <w:rsid w:val="003155DF"/>
    <w:rsid w:val="0033019D"/>
    <w:rsid w:val="003320B4"/>
    <w:rsid w:val="00335A5C"/>
    <w:rsid w:val="00340273"/>
    <w:rsid w:val="0034120F"/>
    <w:rsid w:val="00342A66"/>
    <w:rsid w:val="003469D8"/>
    <w:rsid w:val="00361663"/>
    <w:rsid w:val="00371765"/>
    <w:rsid w:val="00373A5C"/>
    <w:rsid w:val="00374960"/>
    <w:rsid w:val="00387C4A"/>
    <w:rsid w:val="003947B3"/>
    <w:rsid w:val="003954E1"/>
    <w:rsid w:val="0039793C"/>
    <w:rsid w:val="003A2DDC"/>
    <w:rsid w:val="003A2E29"/>
    <w:rsid w:val="003A723D"/>
    <w:rsid w:val="003B41EB"/>
    <w:rsid w:val="003B5CD6"/>
    <w:rsid w:val="003B680E"/>
    <w:rsid w:val="003B6E52"/>
    <w:rsid w:val="003C630C"/>
    <w:rsid w:val="003D1F96"/>
    <w:rsid w:val="003D3A1C"/>
    <w:rsid w:val="003E44DB"/>
    <w:rsid w:val="003E4E71"/>
    <w:rsid w:val="003E5D85"/>
    <w:rsid w:val="003F6232"/>
    <w:rsid w:val="004026A1"/>
    <w:rsid w:val="004174BE"/>
    <w:rsid w:val="0042622A"/>
    <w:rsid w:val="0042676D"/>
    <w:rsid w:val="00427827"/>
    <w:rsid w:val="00431498"/>
    <w:rsid w:val="004325B6"/>
    <w:rsid w:val="0043381C"/>
    <w:rsid w:val="00436B74"/>
    <w:rsid w:val="00440620"/>
    <w:rsid w:val="004407B6"/>
    <w:rsid w:val="00443AB3"/>
    <w:rsid w:val="004444BB"/>
    <w:rsid w:val="00445A92"/>
    <w:rsid w:val="0045436A"/>
    <w:rsid w:val="004560EE"/>
    <w:rsid w:val="0045792C"/>
    <w:rsid w:val="00464450"/>
    <w:rsid w:val="004654DD"/>
    <w:rsid w:val="004678DA"/>
    <w:rsid w:val="00471EC6"/>
    <w:rsid w:val="00476059"/>
    <w:rsid w:val="004847F6"/>
    <w:rsid w:val="004866FD"/>
    <w:rsid w:val="004A2737"/>
    <w:rsid w:val="004A2C3C"/>
    <w:rsid w:val="004A564E"/>
    <w:rsid w:val="004A767D"/>
    <w:rsid w:val="004C0BEF"/>
    <w:rsid w:val="004C4EBF"/>
    <w:rsid w:val="004C705F"/>
    <w:rsid w:val="004C7703"/>
    <w:rsid w:val="004D7321"/>
    <w:rsid w:val="004E071B"/>
    <w:rsid w:val="004E0B9B"/>
    <w:rsid w:val="004E439A"/>
    <w:rsid w:val="004F5673"/>
    <w:rsid w:val="00501508"/>
    <w:rsid w:val="00512BA4"/>
    <w:rsid w:val="0052045C"/>
    <w:rsid w:val="00523447"/>
    <w:rsid w:val="005241B5"/>
    <w:rsid w:val="00530EEA"/>
    <w:rsid w:val="00535AF4"/>
    <w:rsid w:val="00545181"/>
    <w:rsid w:val="0055063E"/>
    <w:rsid w:val="005522DF"/>
    <w:rsid w:val="00555C5A"/>
    <w:rsid w:val="00567E59"/>
    <w:rsid w:val="00571A50"/>
    <w:rsid w:val="005723A5"/>
    <w:rsid w:val="00572976"/>
    <w:rsid w:val="00582158"/>
    <w:rsid w:val="00582A22"/>
    <w:rsid w:val="0058591F"/>
    <w:rsid w:val="00591091"/>
    <w:rsid w:val="005912C7"/>
    <w:rsid w:val="005924A3"/>
    <w:rsid w:val="00593848"/>
    <w:rsid w:val="00594C76"/>
    <w:rsid w:val="005A4AF4"/>
    <w:rsid w:val="005A73AB"/>
    <w:rsid w:val="005A7C3A"/>
    <w:rsid w:val="005B13BA"/>
    <w:rsid w:val="005B26CF"/>
    <w:rsid w:val="005B6119"/>
    <w:rsid w:val="005B61F7"/>
    <w:rsid w:val="005B754D"/>
    <w:rsid w:val="005C0810"/>
    <w:rsid w:val="005C29E0"/>
    <w:rsid w:val="005C7795"/>
    <w:rsid w:val="005D0EAE"/>
    <w:rsid w:val="005D195D"/>
    <w:rsid w:val="005E3E1B"/>
    <w:rsid w:val="005E5C41"/>
    <w:rsid w:val="005F330E"/>
    <w:rsid w:val="005F62DE"/>
    <w:rsid w:val="005F6A4C"/>
    <w:rsid w:val="00611B38"/>
    <w:rsid w:val="00616297"/>
    <w:rsid w:val="00616397"/>
    <w:rsid w:val="00616B34"/>
    <w:rsid w:val="00617012"/>
    <w:rsid w:val="00624619"/>
    <w:rsid w:val="00626304"/>
    <w:rsid w:val="006303B4"/>
    <w:rsid w:val="00633DA0"/>
    <w:rsid w:val="006346B5"/>
    <w:rsid w:val="00634EC2"/>
    <w:rsid w:val="006357F2"/>
    <w:rsid w:val="006374B8"/>
    <w:rsid w:val="00640F29"/>
    <w:rsid w:val="00641987"/>
    <w:rsid w:val="00644F39"/>
    <w:rsid w:val="00645FB2"/>
    <w:rsid w:val="00646601"/>
    <w:rsid w:val="006508DF"/>
    <w:rsid w:val="00651DD0"/>
    <w:rsid w:val="006544C4"/>
    <w:rsid w:val="006611A2"/>
    <w:rsid w:val="006627D7"/>
    <w:rsid w:val="00674CBB"/>
    <w:rsid w:val="00675CE2"/>
    <w:rsid w:val="006822FF"/>
    <w:rsid w:val="00682AB0"/>
    <w:rsid w:val="00687E2F"/>
    <w:rsid w:val="006919AD"/>
    <w:rsid w:val="00694F8B"/>
    <w:rsid w:val="00697D8C"/>
    <w:rsid w:val="006A3348"/>
    <w:rsid w:val="006B07F8"/>
    <w:rsid w:val="006B0F29"/>
    <w:rsid w:val="006B12C9"/>
    <w:rsid w:val="006B6B40"/>
    <w:rsid w:val="006C393A"/>
    <w:rsid w:val="006C5D87"/>
    <w:rsid w:val="006C62C8"/>
    <w:rsid w:val="006D1B7B"/>
    <w:rsid w:val="006D2E7D"/>
    <w:rsid w:val="006D3096"/>
    <w:rsid w:val="006E0CFD"/>
    <w:rsid w:val="006E3205"/>
    <w:rsid w:val="006E605B"/>
    <w:rsid w:val="006E7929"/>
    <w:rsid w:val="006F24F6"/>
    <w:rsid w:val="006F3A00"/>
    <w:rsid w:val="006F70F6"/>
    <w:rsid w:val="007027EC"/>
    <w:rsid w:val="00704683"/>
    <w:rsid w:val="00705BA5"/>
    <w:rsid w:val="007101F1"/>
    <w:rsid w:val="00715FC6"/>
    <w:rsid w:val="007224BC"/>
    <w:rsid w:val="00725D65"/>
    <w:rsid w:val="00726824"/>
    <w:rsid w:val="007333DE"/>
    <w:rsid w:val="00734AAA"/>
    <w:rsid w:val="00736D44"/>
    <w:rsid w:val="007436BD"/>
    <w:rsid w:val="00750D2D"/>
    <w:rsid w:val="0075369D"/>
    <w:rsid w:val="007609B0"/>
    <w:rsid w:val="00763FDE"/>
    <w:rsid w:val="00773266"/>
    <w:rsid w:val="0077399D"/>
    <w:rsid w:val="00775869"/>
    <w:rsid w:val="00780635"/>
    <w:rsid w:val="0078247B"/>
    <w:rsid w:val="0078255F"/>
    <w:rsid w:val="00787797"/>
    <w:rsid w:val="00790606"/>
    <w:rsid w:val="00796CF3"/>
    <w:rsid w:val="007A3A9A"/>
    <w:rsid w:val="007C0B03"/>
    <w:rsid w:val="007C1D79"/>
    <w:rsid w:val="007C5EFA"/>
    <w:rsid w:val="007C605E"/>
    <w:rsid w:val="007E040E"/>
    <w:rsid w:val="007E11C5"/>
    <w:rsid w:val="007E1256"/>
    <w:rsid w:val="007E45B7"/>
    <w:rsid w:val="007E5E1E"/>
    <w:rsid w:val="007E61D8"/>
    <w:rsid w:val="007E7653"/>
    <w:rsid w:val="007F0A3F"/>
    <w:rsid w:val="007F1C5B"/>
    <w:rsid w:val="007F437A"/>
    <w:rsid w:val="007F7973"/>
    <w:rsid w:val="00804E20"/>
    <w:rsid w:val="00807A11"/>
    <w:rsid w:val="00807DC9"/>
    <w:rsid w:val="008103B9"/>
    <w:rsid w:val="00813CC8"/>
    <w:rsid w:val="008357D2"/>
    <w:rsid w:val="00836A09"/>
    <w:rsid w:val="00836A6E"/>
    <w:rsid w:val="00843CC6"/>
    <w:rsid w:val="00844491"/>
    <w:rsid w:val="00844AC4"/>
    <w:rsid w:val="00851EA4"/>
    <w:rsid w:val="008639AA"/>
    <w:rsid w:val="00865F3C"/>
    <w:rsid w:val="00883628"/>
    <w:rsid w:val="00885C2F"/>
    <w:rsid w:val="00887FD1"/>
    <w:rsid w:val="008902E6"/>
    <w:rsid w:val="00890C55"/>
    <w:rsid w:val="00892B48"/>
    <w:rsid w:val="008B18AE"/>
    <w:rsid w:val="008B2F11"/>
    <w:rsid w:val="008B7B94"/>
    <w:rsid w:val="008C23F1"/>
    <w:rsid w:val="008C2D49"/>
    <w:rsid w:val="008D1523"/>
    <w:rsid w:val="008D2449"/>
    <w:rsid w:val="008D4266"/>
    <w:rsid w:val="008D6924"/>
    <w:rsid w:val="008E09B9"/>
    <w:rsid w:val="008E1195"/>
    <w:rsid w:val="008E7076"/>
    <w:rsid w:val="008E7683"/>
    <w:rsid w:val="008F67E2"/>
    <w:rsid w:val="008F79A4"/>
    <w:rsid w:val="009026DF"/>
    <w:rsid w:val="009029C4"/>
    <w:rsid w:val="009032AC"/>
    <w:rsid w:val="00904BF9"/>
    <w:rsid w:val="00905EDA"/>
    <w:rsid w:val="00911F4E"/>
    <w:rsid w:val="0091207C"/>
    <w:rsid w:val="00914ED7"/>
    <w:rsid w:val="0091698D"/>
    <w:rsid w:val="009329C3"/>
    <w:rsid w:val="00937088"/>
    <w:rsid w:val="009520AF"/>
    <w:rsid w:val="009539F9"/>
    <w:rsid w:val="00954E9E"/>
    <w:rsid w:val="009664AA"/>
    <w:rsid w:val="00966F34"/>
    <w:rsid w:val="009673A7"/>
    <w:rsid w:val="009700C8"/>
    <w:rsid w:val="00970F33"/>
    <w:rsid w:val="00972B51"/>
    <w:rsid w:val="00973038"/>
    <w:rsid w:val="00981FCE"/>
    <w:rsid w:val="00982D87"/>
    <w:rsid w:val="00986704"/>
    <w:rsid w:val="0099412E"/>
    <w:rsid w:val="00994F4E"/>
    <w:rsid w:val="009A34F5"/>
    <w:rsid w:val="009A4A38"/>
    <w:rsid w:val="009A4CC1"/>
    <w:rsid w:val="009A64EA"/>
    <w:rsid w:val="009B05EC"/>
    <w:rsid w:val="009B549D"/>
    <w:rsid w:val="009B5654"/>
    <w:rsid w:val="009C1515"/>
    <w:rsid w:val="009C3E02"/>
    <w:rsid w:val="009C514B"/>
    <w:rsid w:val="009D2BDC"/>
    <w:rsid w:val="009D7828"/>
    <w:rsid w:val="009E77BC"/>
    <w:rsid w:val="009F0449"/>
    <w:rsid w:val="009F0778"/>
    <w:rsid w:val="009F2104"/>
    <w:rsid w:val="009F4ABC"/>
    <w:rsid w:val="00A05292"/>
    <w:rsid w:val="00A0616A"/>
    <w:rsid w:val="00A0771B"/>
    <w:rsid w:val="00A12149"/>
    <w:rsid w:val="00A2189F"/>
    <w:rsid w:val="00A24492"/>
    <w:rsid w:val="00A26735"/>
    <w:rsid w:val="00A272C6"/>
    <w:rsid w:val="00A35382"/>
    <w:rsid w:val="00A37BD8"/>
    <w:rsid w:val="00A422A5"/>
    <w:rsid w:val="00A422B1"/>
    <w:rsid w:val="00A44552"/>
    <w:rsid w:val="00A47939"/>
    <w:rsid w:val="00A526C4"/>
    <w:rsid w:val="00A547EF"/>
    <w:rsid w:val="00A54E65"/>
    <w:rsid w:val="00A5543B"/>
    <w:rsid w:val="00A60A4F"/>
    <w:rsid w:val="00A61004"/>
    <w:rsid w:val="00A618E4"/>
    <w:rsid w:val="00A63C4D"/>
    <w:rsid w:val="00A658A1"/>
    <w:rsid w:val="00A70B6E"/>
    <w:rsid w:val="00A72A6E"/>
    <w:rsid w:val="00A74979"/>
    <w:rsid w:val="00A75E21"/>
    <w:rsid w:val="00A82798"/>
    <w:rsid w:val="00A8306B"/>
    <w:rsid w:val="00A86E7C"/>
    <w:rsid w:val="00A90D33"/>
    <w:rsid w:val="00A9247C"/>
    <w:rsid w:val="00A92BC2"/>
    <w:rsid w:val="00A94212"/>
    <w:rsid w:val="00A958B2"/>
    <w:rsid w:val="00A962D8"/>
    <w:rsid w:val="00A96650"/>
    <w:rsid w:val="00A972DF"/>
    <w:rsid w:val="00AA5BC0"/>
    <w:rsid w:val="00AB1432"/>
    <w:rsid w:val="00AB62CC"/>
    <w:rsid w:val="00AB7A8D"/>
    <w:rsid w:val="00AC1C68"/>
    <w:rsid w:val="00AC52CB"/>
    <w:rsid w:val="00AD0B76"/>
    <w:rsid w:val="00AD1B3B"/>
    <w:rsid w:val="00AD320E"/>
    <w:rsid w:val="00AE0834"/>
    <w:rsid w:val="00AF3D00"/>
    <w:rsid w:val="00B03D97"/>
    <w:rsid w:val="00B068E2"/>
    <w:rsid w:val="00B07689"/>
    <w:rsid w:val="00B15498"/>
    <w:rsid w:val="00B16153"/>
    <w:rsid w:val="00B16357"/>
    <w:rsid w:val="00B206D8"/>
    <w:rsid w:val="00B21E99"/>
    <w:rsid w:val="00B274F7"/>
    <w:rsid w:val="00B27CFD"/>
    <w:rsid w:val="00B310C0"/>
    <w:rsid w:val="00B33404"/>
    <w:rsid w:val="00B3567A"/>
    <w:rsid w:val="00B3580C"/>
    <w:rsid w:val="00B370B6"/>
    <w:rsid w:val="00B37CA9"/>
    <w:rsid w:val="00B40978"/>
    <w:rsid w:val="00B43456"/>
    <w:rsid w:val="00B46A6C"/>
    <w:rsid w:val="00B50589"/>
    <w:rsid w:val="00B54728"/>
    <w:rsid w:val="00B675B9"/>
    <w:rsid w:val="00B74083"/>
    <w:rsid w:val="00B75BD8"/>
    <w:rsid w:val="00B82773"/>
    <w:rsid w:val="00B83114"/>
    <w:rsid w:val="00B84C70"/>
    <w:rsid w:val="00B85E8D"/>
    <w:rsid w:val="00B93A66"/>
    <w:rsid w:val="00BA20A3"/>
    <w:rsid w:val="00BA31FD"/>
    <w:rsid w:val="00BA7E9B"/>
    <w:rsid w:val="00BB4C6C"/>
    <w:rsid w:val="00BC0724"/>
    <w:rsid w:val="00BC3DFA"/>
    <w:rsid w:val="00BC5081"/>
    <w:rsid w:val="00BC5D10"/>
    <w:rsid w:val="00BC5E6D"/>
    <w:rsid w:val="00BD19C1"/>
    <w:rsid w:val="00BD2A0F"/>
    <w:rsid w:val="00BD41E1"/>
    <w:rsid w:val="00BD750C"/>
    <w:rsid w:val="00BE278F"/>
    <w:rsid w:val="00BE3BB5"/>
    <w:rsid w:val="00BE4ED0"/>
    <w:rsid w:val="00BF286F"/>
    <w:rsid w:val="00BF2A59"/>
    <w:rsid w:val="00C00231"/>
    <w:rsid w:val="00C034C1"/>
    <w:rsid w:val="00C12415"/>
    <w:rsid w:val="00C16381"/>
    <w:rsid w:val="00C236E4"/>
    <w:rsid w:val="00C23A04"/>
    <w:rsid w:val="00C24477"/>
    <w:rsid w:val="00C35881"/>
    <w:rsid w:val="00C36066"/>
    <w:rsid w:val="00C375A2"/>
    <w:rsid w:val="00C37ECF"/>
    <w:rsid w:val="00C42846"/>
    <w:rsid w:val="00C43658"/>
    <w:rsid w:val="00C53DDB"/>
    <w:rsid w:val="00C635E6"/>
    <w:rsid w:val="00C6414C"/>
    <w:rsid w:val="00C643BA"/>
    <w:rsid w:val="00C763CC"/>
    <w:rsid w:val="00C8032E"/>
    <w:rsid w:val="00C82136"/>
    <w:rsid w:val="00C83B88"/>
    <w:rsid w:val="00C87C72"/>
    <w:rsid w:val="00C92EEC"/>
    <w:rsid w:val="00C9306A"/>
    <w:rsid w:val="00CA27D3"/>
    <w:rsid w:val="00CA415C"/>
    <w:rsid w:val="00CA6AFA"/>
    <w:rsid w:val="00CB0D2F"/>
    <w:rsid w:val="00CB64C0"/>
    <w:rsid w:val="00CB6AF3"/>
    <w:rsid w:val="00CC3824"/>
    <w:rsid w:val="00CC6DB1"/>
    <w:rsid w:val="00CD1416"/>
    <w:rsid w:val="00CD2352"/>
    <w:rsid w:val="00CD24FB"/>
    <w:rsid w:val="00CD5235"/>
    <w:rsid w:val="00CE0E9B"/>
    <w:rsid w:val="00CE1996"/>
    <w:rsid w:val="00CE594F"/>
    <w:rsid w:val="00CF1157"/>
    <w:rsid w:val="00CF5E77"/>
    <w:rsid w:val="00D00CF1"/>
    <w:rsid w:val="00D047B3"/>
    <w:rsid w:val="00D05390"/>
    <w:rsid w:val="00D10A4B"/>
    <w:rsid w:val="00D16638"/>
    <w:rsid w:val="00D16B53"/>
    <w:rsid w:val="00D24AC6"/>
    <w:rsid w:val="00D32BBE"/>
    <w:rsid w:val="00D36B3D"/>
    <w:rsid w:val="00D375CC"/>
    <w:rsid w:val="00D4610C"/>
    <w:rsid w:val="00D47F02"/>
    <w:rsid w:val="00D530D3"/>
    <w:rsid w:val="00D53DE5"/>
    <w:rsid w:val="00D6337C"/>
    <w:rsid w:val="00D63926"/>
    <w:rsid w:val="00D66D1A"/>
    <w:rsid w:val="00D67CB0"/>
    <w:rsid w:val="00D7431E"/>
    <w:rsid w:val="00D82C18"/>
    <w:rsid w:val="00D833BF"/>
    <w:rsid w:val="00D90E5D"/>
    <w:rsid w:val="00D92620"/>
    <w:rsid w:val="00D92D9B"/>
    <w:rsid w:val="00D97C06"/>
    <w:rsid w:val="00DA0A0F"/>
    <w:rsid w:val="00DB0B4C"/>
    <w:rsid w:val="00DB34F3"/>
    <w:rsid w:val="00DB7580"/>
    <w:rsid w:val="00DC105F"/>
    <w:rsid w:val="00DC2593"/>
    <w:rsid w:val="00DC56A3"/>
    <w:rsid w:val="00DC6077"/>
    <w:rsid w:val="00DD2F56"/>
    <w:rsid w:val="00DD40D3"/>
    <w:rsid w:val="00DE2F6E"/>
    <w:rsid w:val="00DE6A33"/>
    <w:rsid w:val="00DF6D9E"/>
    <w:rsid w:val="00E02FC2"/>
    <w:rsid w:val="00E052A5"/>
    <w:rsid w:val="00E149BE"/>
    <w:rsid w:val="00E221D4"/>
    <w:rsid w:val="00E22EFE"/>
    <w:rsid w:val="00E25B2D"/>
    <w:rsid w:val="00E31A68"/>
    <w:rsid w:val="00E333A0"/>
    <w:rsid w:val="00E33B35"/>
    <w:rsid w:val="00E36B2C"/>
    <w:rsid w:val="00E421A7"/>
    <w:rsid w:val="00E5007D"/>
    <w:rsid w:val="00E5249F"/>
    <w:rsid w:val="00E527F4"/>
    <w:rsid w:val="00E563F3"/>
    <w:rsid w:val="00E60A53"/>
    <w:rsid w:val="00E63373"/>
    <w:rsid w:val="00E64E81"/>
    <w:rsid w:val="00E6693D"/>
    <w:rsid w:val="00E72E59"/>
    <w:rsid w:val="00E75699"/>
    <w:rsid w:val="00E773B3"/>
    <w:rsid w:val="00E81224"/>
    <w:rsid w:val="00E819F8"/>
    <w:rsid w:val="00E86ED4"/>
    <w:rsid w:val="00E86FCD"/>
    <w:rsid w:val="00E87832"/>
    <w:rsid w:val="00E87D80"/>
    <w:rsid w:val="00E94A17"/>
    <w:rsid w:val="00E96C8A"/>
    <w:rsid w:val="00EB19E5"/>
    <w:rsid w:val="00EB1A8E"/>
    <w:rsid w:val="00EB647B"/>
    <w:rsid w:val="00EC0DDB"/>
    <w:rsid w:val="00EC2BA4"/>
    <w:rsid w:val="00EC60E1"/>
    <w:rsid w:val="00EC6195"/>
    <w:rsid w:val="00ED5671"/>
    <w:rsid w:val="00EE01EF"/>
    <w:rsid w:val="00EE0896"/>
    <w:rsid w:val="00EE21B6"/>
    <w:rsid w:val="00EE303E"/>
    <w:rsid w:val="00EE56A4"/>
    <w:rsid w:val="00EF2714"/>
    <w:rsid w:val="00EF7AC7"/>
    <w:rsid w:val="00F00418"/>
    <w:rsid w:val="00F02B9D"/>
    <w:rsid w:val="00F036D7"/>
    <w:rsid w:val="00F05124"/>
    <w:rsid w:val="00F103AB"/>
    <w:rsid w:val="00F10E43"/>
    <w:rsid w:val="00F14D3D"/>
    <w:rsid w:val="00F2369F"/>
    <w:rsid w:val="00F23A6F"/>
    <w:rsid w:val="00F26A14"/>
    <w:rsid w:val="00F27D62"/>
    <w:rsid w:val="00F33348"/>
    <w:rsid w:val="00F356F8"/>
    <w:rsid w:val="00F36BF9"/>
    <w:rsid w:val="00F37D71"/>
    <w:rsid w:val="00F43C54"/>
    <w:rsid w:val="00F4652F"/>
    <w:rsid w:val="00F51866"/>
    <w:rsid w:val="00F51A91"/>
    <w:rsid w:val="00F5291F"/>
    <w:rsid w:val="00F64D13"/>
    <w:rsid w:val="00F67E39"/>
    <w:rsid w:val="00F72369"/>
    <w:rsid w:val="00F73390"/>
    <w:rsid w:val="00F74601"/>
    <w:rsid w:val="00F74E04"/>
    <w:rsid w:val="00F80DAF"/>
    <w:rsid w:val="00F8111A"/>
    <w:rsid w:val="00F929B7"/>
    <w:rsid w:val="00F97685"/>
    <w:rsid w:val="00FB23EC"/>
    <w:rsid w:val="00FB2801"/>
    <w:rsid w:val="00FC13DB"/>
    <w:rsid w:val="00FC6181"/>
    <w:rsid w:val="00FD3746"/>
    <w:rsid w:val="00FD3A28"/>
    <w:rsid w:val="00FD5774"/>
    <w:rsid w:val="00FD5ABA"/>
    <w:rsid w:val="00FD7CE0"/>
    <w:rsid w:val="00FE091B"/>
    <w:rsid w:val="00FE0BBE"/>
    <w:rsid w:val="00FE5149"/>
    <w:rsid w:val="00FF53BC"/>
    <w:rsid w:val="00FF763A"/>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F587"/>
  <w15:chartTrackingRefBased/>
  <w15:docId w15:val="{12CF2B0D-721F-4F37-AC49-1EBB87DD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EB"/>
    <w:pPr>
      <w:spacing w:line="300" w:lineRule="exact"/>
      <w:jc w:val="both"/>
    </w:pPr>
    <w:rPr>
      <w:rFonts w:ascii="Arial" w:hAnsi="Arial"/>
      <w:szCs w:val="24"/>
      <w:lang w:eastAsia="en-US"/>
    </w:rPr>
  </w:style>
  <w:style w:type="paragraph" w:styleId="Heading1">
    <w:name w:val="heading 1"/>
    <w:basedOn w:val="Normal"/>
    <w:next w:val="Normal"/>
    <w:qFormat/>
    <w:rsid w:val="00B068E2"/>
    <w:pPr>
      <w:tabs>
        <w:tab w:val="left" w:pos="1134"/>
      </w:tabs>
      <w:ind w:left="1134" w:hanging="1134"/>
      <w:outlineLvl w:val="0"/>
    </w:pPr>
    <w:rPr>
      <w:b/>
      <w:caps/>
    </w:rPr>
  </w:style>
  <w:style w:type="paragraph" w:styleId="Heading2">
    <w:name w:val="heading 2"/>
    <w:basedOn w:val="Normal"/>
    <w:next w:val="Normal"/>
    <w:qFormat/>
    <w:rsid w:val="00B068E2"/>
    <w:pPr>
      <w:keepNext/>
      <w:tabs>
        <w:tab w:val="left" w:pos="1134"/>
      </w:tabs>
      <w:ind w:left="1134" w:hanging="1134"/>
      <w:outlineLvl w:val="1"/>
    </w:pPr>
    <w:rPr>
      <w:b/>
    </w:rPr>
  </w:style>
  <w:style w:type="paragraph" w:styleId="Heading3">
    <w:name w:val="heading 3"/>
    <w:basedOn w:val="Normal"/>
    <w:next w:val="Normal"/>
    <w:qFormat/>
    <w:rsid w:val="00B068E2"/>
    <w:pPr>
      <w:keepNext/>
      <w:jc w:val="center"/>
      <w:outlineLvl w:val="2"/>
    </w:pPr>
    <w:rPr>
      <w:b/>
      <w:caps/>
    </w:rPr>
  </w:style>
  <w:style w:type="character" w:default="1" w:styleId="DefaultParagraphFont">
    <w:name w:val="Default Paragraph Font"/>
    <w:uiPriority w:val="1"/>
    <w:semiHidden/>
    <w:unhideWhenUsed/>
    <w:rsid w:val="00B068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8E2"/>
  </w:style>
  <w:style w:type="paragraph" w:customStyle="1" w:styleId="KSAffidavitNames">
    <w:name w:val="K&amp;S AffidavitNames"/>
    <w:basedOn w:val="Normal"/>
    <w:rsid w:val="00B068E2"/>
    <w:pPr>
      <w:tabs>
        <w:tab w:val="left" w:pos="6237"/>
      </w:tabs>
    </w:pPr>
  </w:style>
  <w:style w:type="paragraph" w:customStyle="1" w:styleId="KSAffidavitNamesBackPage">
    <w:name w:val="K&amp;S AffidavitNamesBackPage"/>
    <w:basedOn w:val="Normal"/>
    <w:rsid w:val="00B068E2"/>
    <w:pPr>
      <w:tabs>
        <w:tab w:val="left" w:pos="2268"/>
      </w:tabs>
    </w:pPr>
  </w:style>
  <w:style w:type="paragraph" w:customStyle="1" w:styleId="KSDefinitions">
    <w:name w:val="K&amp;S Definitions"/>
    <w:basedOn w:val="Normal"/>
    <w:rsid w:val="00B068E2"/>
    <w:pPr>
      <w:tabs>
        <w:tab w:val="left" w:pos="1134"/>
        <w:tab w:val="left" w:pos="4253"/>
      </w:tabs>
      <w:ind w:left="4253" w:hanging="4253"/>
    </w:pPr>
  </w:style>
  <w:style w:type="paragraph" w:customStyle="1" w:styleId="KSFrontSheet">
    <w:name w:val="K&amp;S FrontSheet"/>
    <w:basedOn w:val="Normal"/>
    <w:rsid w:val="00B068E2"/>
    <w:pPr>
      <w:ind w:left="3402" w:right="851"/>
      <w:jc w:val="center"/>
    </w:pPr>
  </w:style>
  <w:style w:type="paragraph" w:customStyle="1" w:styleId="KSIndent">
    <w:name w:val="K&amp;S Indent"/>
    <w:basedOn w:val="Normal"/>
    <w:rsid w:val="00B068E2"/>
    <w:pPr>
      <w:tabs>
        <w:tab w:val="left" w:pos="1134"/>
      </w:tabs>
      <w:ind w:left="1134" w:hanging="1134"/>
    </w:pPr>
  </w:style>
  <w:style w:type="paragraph" w:customStyle="1" w:styleId="KSParties">
    <w:name w:val="K&amp;S Parties"/>
    <w:basedOn w:val="Normal"/>
    <w:rsid w:val="00B068E2"/>
    <w:pPr>
      <w:tabs>
        <w:tab w:val="left" w:pos="1134"/>
        <w:tab w:val="left" w:pos="3402"/>
      </w:tabs>
      <w:ind w:left="3402" w:hanging="3402"/>
    </w:pPr>
  </w:style>
  <w:style w:type="paragraph" w:customStyle="1" w:styleId="KSSignature">
    <w:name w:val="K&amp;S Signature"/>
    <w:basedOn w:val="Normal"/>
    <w:rsid w:val="00B068E2"/>
    <w:pPr>
      <w:tabs>
        <w:tab w:val="left" w:pos="4536"/>
      </w:tabs>
    </w:pPr>
  </w:style>
  <w:style w:type="paragraph" w:customStyle="1" w:styleId="KSSubDefinitions">
    <w:name w:val="K&amp;S SubDefinitions"/>
    <w:basedOn w:val="KSDefinitions"/>
    <w:rsid w:val="00B068E2"/>
    <w:pPr>
      <w:tabs>
        <w:tab w:val="clear" w:pos="1134"/>
        <w:tab w:val="left" w:pos="4820"/>
      </w:tabs>
      <w:ind w:left="4820" w:hanging="4820"/>
    </w:pPr>
  </w:style>
  <w:style w:type="paragraph" w:customStyle="1" w:styleId="KSTransfer">
    <w:name w:val="K&amp;S Transfer"/>
    <w:basedOn w:val="Normal"/>
    <w:rsid w:val="00B068E2"/>
    <w:pPr>
      <w:tabs>
        <w:tab w:val="left" w:pos="4253"/>
        <w:tab w:val="left" w:pos="5103"/>
      </w:tabs>
      <w:ind w:left="5103" w:hanging="5103"/>
    </w:pPr>
  </w:style>
  <w:style w:type="character" w:customStyle="1" w:styleId="PersonalComposeStyle">
    <w:name w:val="Personal Compose Style"/>
    <w:basedOn w:val="DefaultParagraphFont"/>
    <w:rsid w:val="00B068E2"/>
    <w:rPr>
      <w:rFonts w:ascii="Arial" w:hAnsi="Arial" w:cs="Arial"/>
      <w:color w:val="auto"/>
      <w:sz w:val="20"/>
    </w:rPr>
  </w:style>
  <w:style w:type="character" w:customStyle="1" w:styleId="PersonalReplyStyle">
    <w:name w:val="Personal Reply Style"/>
    <w:basedOn w:val="DefaultParagraphFont"/>
    <w:rsid w:val="00B068E2"/>
    <w:rPr>
      <w:rFonts w:ascii="Arial" w:hAnsi="Arial" w:cs="Arial"/>
      <w:color w:val="auto"/>
      <w:sz w:val="20"/>
    </w:rPr>
  </w:style>
  <w:style w:type="paragraph" w:customStyle="1" w:styleId="SKW">
    <w:name w:val="SKW"/>
    <w:basedOn w:val="Normal"/>
    <w:rsid w:val="00B068E2"/>
    <w:pPr>
      <w:spacing w:line="240" w:lineRule="auto"/>
    </w:pPr>
    <w:rPr>
      <w:b/>
      <w:bCs/>
      <w:sz w:val="36"/>
    </w:rPr>
  </w:style>
  <w:style w:type="paragraph" w:customStyle="1" w:styleId="SKW1">
    <w:name w:val="SKW1"/>
    <w:basedOn w:val="Normal"/>
    <w:rsid w:val="00B068E2"/>
  </w:style>
  <w:style w:type="table" w:styleId="TableGrid">
    <w:name w:val="Table Grid"/>
    <w:basedOn w:val="TableNormal"/>
    <w:rsid w:val="00B068E2"/>
    <w:pPr>
      <w:spacing w:line="300" w:lineRule="exact"/>
      <w:jc w:val="both"/>
    </w:pPr>
    <w:tblPr/>
  </w:style>
  <w:style w:type="paragraph" w:styleId="TOC1">
    <w:name w:val="toc 1"/>
    <w:basedOn w:val="Normal"/>
    <w:next w:val="Normal"/>
    <w:semiHidden/>
    <w:rsid w:val="00B068E2"/>
    <w:pPr>
      <w:tabs>
        <w:tab w:val="left" w:pos="567"/>
        <w:tab w:val="right" w:pos="9356"/>
      </w:tabs>
      <w:spacing w:line="360" w:lineRule="auto"/>
      <w:ind w:left="567" w:hanging="567"/>
    </w:pPr>
    <w:rPr>
      <w:caps/>
    </w:rPr>
  </w:style>
  <w:style w:type="paragraph" w:styleId="TOC2">
    <w:name w:val="toc 2"/>
    <w:basedOn w:val="TOC1"/>
    <w:next w:val="Normal"/>
    <w:semiHidden/>
    <w:rsid w:val="00B068E2"/>
    <w:rPr>
      <w:caps w:val="0"/>
    </w:rPr>
  </w:style>
  <w:style w:type="paragraph" w:styleId="TOC3">
    <w:name w:val="toc 3"/>
    <w:basedOn w:val="TOC1"/>
    <w:next w:val="Normal"/>
    <w:semiHidden/>
    <w:rsid w:val="00B068E2"/>
    <w:pPr>
      <w:tabs>
        <w:tab w:val="clear" w:pos="567"/>
      </w:tabs>
      <w:ind w:left="0" w:firstLine="0"/>
    </w:pPr>
  </w:style>
  <w:style w:type="paragraph" w:customStyle="1" w:styleId="Style1">
    <w:name w:val="Style1"/>
    <w:basedOn w:val="Heading1"/>
    <w:next w:val="Normal"/>
    <w:rsid w:val="00B068E2"/>
    <w:pPr>
      <w:jc w:val="center"/>
    </w:pPr>
    <w:rPr>
      <w:caps w:val="0"/>
      <w:sz w:val="24"/>
    </w:rPr>
  </w:style>
  <w:style w:type="paragraph" w:customStyle="1" w:styleId="Style2">
    <w:name w:val="Style2"/>
    <w:basedOn w:val="Heading2"/>
    <w:next w:val="Normal"/>
    <w:rsid w:val="00B068E2"/>
    <w:rPr>
      <w:b w:val="0"/>
      <w:sz w:val="24"/>
    </w:rPr>
  </w:style>
  <w:style w:type="paragraph" w:styleId="ListParagraph">
    <w:name w:val="List Paragraph"/>
    <w:aliases w:val="Paragraph numbering,List Paragraph1,List Paragraph11"/>
    <w:basedOn w:val="Normal"/>
    <w:uiPriority w:val="34"/>
    <w:qFormat/>
    <w:rsid w:val="003D3A1C"/>
    <w:pPr>
      <w:ind w:left="720"/>
      <w:contextualSpacing/>
    </w:pPr>
  </w:style>
  <w:style w:type="paragraph" w:styleId="BalloonText">
    <w:name w:val="Balloon Text"/>
    <w:basedOn w:val="Normal"/>
    <w:link w:val="BalloonTextChar"/>
    <w:semiHidden/>
    <w:unhideWhenUsed/>
    <w:rsid w:val="00CA6A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6AFA"/>
    <w:rPr>
      <w:rFonts w:ascii="Segoe UI" w:hAnsi="Segoe UI" w:cs="Segoe UI"/>
      <w:sz w:val="18"/>
      <w:szCs w:val="18"/>
      <w:lang w:eastAsia="en-US"/>
    </w:rPr>
  </w:style>
  <w:style w:type="paragraph" w:styleId="Header">
    <w:name w:val="header"/>
    <w:basedOn w:val="Normal"/>
    <w:link w:val="HeaderChar"/>
    <w:unhideWhenUsed/>
    <w:rsid w:val="008F67E2"/>
    <w:pPr>
      <w:tabs>
        <w:tab w:val="center" w:pos="4513"/>
        <w:tab w:val="right" w:pos="9026"/>
      </w:tabs>
      <w:spacing w:line="240" w:lineRule="auto"/>
    </w:pPr>
  </w:style>
  <w:style w:type="character" w:customStyle="1" w:styleId="HeaderChar">
    <w:name w:val="Header Char"/>
    <w:basedOn w:val="DefaultParagraphFont"/>
    <w:link w:val="Header"/>
    <w:rsid w:val="008F67E2"/>
    <w:rPr>
      <w:rFonts w:ascii="Arial" w:hAnsi="Arial"/>
      <w:szCs w:val="24"/>
      <w:lang w:eastAsia="en-US"/>
    </w:rPr>
  </w:style>
  <w:style w:type="paragraph" w:styleId="Footer">
    <w:name w:val="footer"/>
    <w:basedOn w:val="Normal"/>
    <w:link w:val="FooterChar"/>
    <w:uiPriority w:val="99"/>
    <w:unhideWhenUsed/>
    <w:rsid w:val="008F67E2"/>
    <w:pPr>
      <w:tabs>
        <w:tab w:val="center" w:pos="4513"/>
        <w:tab w:val="right" w:pos="9026"/>
      </w:tabs>
      <w:spacing w:line="240" w:lineRule="auto"/>
    </w:pPr>
  </w:style>
  <w:style w:type="character" w:customStyle="1" w:styleId="FooterChar">
    <w:name w:val="Footer Char"/>
    <w:basedOn w:val="DefaultParagraphFont"/>
    <w:link w:val="Footer"/>
    <w:uiPriority w:val="99"/>
    <w:rsid w:val="008F67E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3F1099B0</Template>
  <TotalTime>125</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Sankhla</dc:creator>
  <cp:keywords/>
  <dc:description/>
  <cp:lastModifiedBy>Donna Mattfield</cp:lastModifiedBy>
  <cp:revision>3</cp:revision>
  <cp:lastPrinted>2018-05-21T16:59:00Z</cp:lastPrinted>
  <dcterms:created xsi:type="dcterms:W3CDTF">2018-05-21T17:05:00Z</dcterms:created>
  <dcterms:modified xsi:type="dcterms:W3CDTF">2018-05-30T15:22:00Z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11930038</vt:i4>
  </property>
</Properties>
</file>