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0" w:rsidRDefault="00411610" w:rsidP="00DB5BCA">
      <w:pPr>
        <w:pStyle w:val="NormalWeb"/>
        <w:spacing w:before="200" w:beforeAutospacing="0" w:after="8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noProof/>
          <w:color w:val="000000" w:themeColor="text1"/>
          <w:kern w:val="24"/>
          <w:sz w:val="28"/>
          <w:szCs w:val="28"/>
          <w:lang w:val="en-US" w:eastAsia="en-US"/>
        </w:rPr>
        <w:drawing>
          <wp:inline distT="0" distB="0" distL="0" distR="0">
            <wp:extent cx="2497066" cy="1391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e2 Logo no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14" cy="139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/>
          <w:noProof/>
          <w:color w:val="000000" w:themeColor="text1"/>
          <w:kern w:val="24"/>
          <w:sz w:val="28"/>
          <w:szCs w:val="28"/>
          <w:lang w:val="en-US" w:eastAsia="en-US"/>
        </w:rPr>
        <w:drawing>
          <wp:inline distT="0" distB="0" distL="0" distR="0">
            <wp:extent cx="3209925" cy="74083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C logo from A4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42" cy="8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F6" w:rsidRDefault="000275F6" w:rsidP="000275F6">
      <w:pPr>
        <w:pStyle w:val="NormalWeb"/>
        <w:spacing w:before="200" w:beforeAutospacing="0" w:after="8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</w:pPr>
    </w:p>
    <w:p w:rsidR="00D36503" w:rsidRDefault="00D36503" w:rsidP="000275F6">
      <w:pPr>
        <w:pStyle w:val="NormalWeb"/>
        <w:spacing w:before="200" w:beforeAutospacing="0" w:after="8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</w:pPr>
      <w:r w:rsidRPr="000275F6"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  <w:t>IMPROVING ACCESS TO OXFORDSH</w:t>
      </w:r>
      <w:r w:rsidR="00DB5BCA" w:rsidRPr="000275F6"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  <w:t>I</w:t>
      </w:r>
      <w:r w:rsidRPr="000275F6"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  <w:t>RE’S COUNTRYSIDE AND GREEN SPACES</w:t>
      </w:r>
    </w:p>
    <w:p w:rsidR="000275F6" w:rsidRPr="000275F6" w:rsidRDefault="000275F6" w:rsidP="000275F6">
      <w:pPr>
        <w:pStyle w:val="NormalWeb"/>
        <w:spacing w:before="200" w:beforeAutospacing="0" w:after="8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</w:pPr>
    </w:p>
    <w:p w:rsidR="00477BBD" w:rsidRPr="00477BBD" w:rsidRDefault="007F06DF" w:rsidP="007F06DF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kern w:val="24"/>
          <w:sz w:val="22"/>
          <w:szCs w:val="22"/>
          <w:lang w:val="en-US" w:eastAsia="en-US"/>
        </w:rPr>
        <w:drawing>
          <wp:inline distT="0" distB="0" distL="0" distR="0">
            <wp:extent cx="4083058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tern Escarp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622" cy="272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F6" w:rsidRDefault="000275F6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551F49" w:rsidRDefault="00D36503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Oxfordshire has a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n excellent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network of </w:t>
      </w:r>
      <w:r w:rsidR="00E27C52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local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rights of way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and accessible green spaces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in its countryside</w:t>
      </w:r>
      <w:r w:rsidR="00E27C52">
        <w:rPr>
          <w:rFonts w:asciiTheme="minorHAnsi" w:eastAsiaTheme="minorEastAsia" w:hAnsiTheme="minorHAnsi" w:cstheme="minorBidi"/>
          <w:kern w:val="24"/>
          <w:sz w:val="22"/>
          <w:szCs w:val="22"/>
        </w:rPr>
        <w:t>, rural communities and in urban areas.  The</w:t>
      </w:r>
      <w:r w:rsidR="001568C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county is also criss-crossed by </w:t>
      </w:r>
      <w:r w:rsidR="00551F49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longer trails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such as the </w:t>
      </w:r>
      <w:r w:rsidR="006301EE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Thames Path and the Ridgeway 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and </w:t>
      </w:r>
      <w:r w:rsidR="00551F49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by </w:t>
      </w:r>
      <w:r w:rsidR="00477BBD">
        <w:rPr>
          <w:rFonts w:asciiTheme="minorHAnsi" w:eastAsiaTheme="minorEastAsia" w:hAnsiTheme="minorHAnsi" w:cstheme="minorBidi"/>
          <w:kern w:val="24"/>
          <w:sz w:val="22"/>
          <w:szCs w:val="22"/>
        </w:rPr>
        <w:t>r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egional routes such as the Oxfordshire Way.  </w:t>
      </w:r>
    </w:p>
    <w:p w:rsidR="00551F49" w:rsidRDefault="00551F49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477BBD" w:rsidRDefault="00551F49" w:rsidP="00DB5BCA">
      <w:pPr>
        <w:pStyle w:val="NormalWeb"/>
        <w:spacing w:before="0" w:beforeAutospacing="0" w:after="80" w:afterAutospacing="0"/>
        <w:rPr>
          <w:rFonts w:ascii="Calibri" w:hAnsi="Calibr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Footpaths and bridleways 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provide opportunities for people to access green spaces for relaxation, exercise</w:t>
      </w:r>
      <w:r w:rsidR="005B5B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and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enjoyment</w:t>
      </w:r>
      <w:r w:rsidR="005B5B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.  Walking or cycling 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has </w:t>
      </w:r>
      <w:r w:rsidR="005B5B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many health benefits and brings people closer to 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the natural world</w:t>
      </w:r>
      <w:r w:rsidR="007F06DF">
        <w:rPr>
          <w:rFonts w:asciiTheme="minorHAnsi" w:eastAsiaTheme="minorEastAsia" w:hAnsiTheme="minorHAnsi" w:cstheme="minorBidi"/>
          <w:kern w:val="24"/>
          <w:sz w:val="22"/>
          <w:szCs w:val="22"/>
        </w:rPr>
        <w:t>,</w:t>
      </w:r>
      <w:r w:rsidR="004F0CA6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="000C41EA">
        <w:rPr>
          <w:rFonts w:asciiTheme="minorHAnsi" w:eastAsiaTheme="minorEastAsia" w:hAnsiTheme="minorHAnsi" w:cstheme="minorBidi"/>
          <w:kern w:val="24"/>
          <w:sz w:val="22"/>
          <w:szCs w:val="22"/>
        </w:rPr>
        <w:t>while</w:t>
      </w:r>
      <w:r w:rsidR="004F0CA6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b</w:t>
      </w:r>
      <w:r w:rsidR="005B5B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etter 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links </w:t>
      </w:r>
      <w:r w:rsidR="005B5B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along rights of way 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within and between communities offer scope for reducing car use.</w:t>
      </w:r>
      <w:r w:rsidR="00477BBD" w:rsidRPr="00477BBD">
        <w:rPr>
          <w:rFonts w:ascii="Calibri" w:hAnsi="Calibri"/>
          <w:sz w:val="22"/>
          <w:szCs w:val="22"/>
        </w:rPr>
        <w:t xml:space="preserve"> </w:t>
      </w:r>
      <w:r w:rsidR="005B5B9D">
        <w:rPr>
          <w:rFonts w:ascii="Calibri" w:hAnsi="Calibri"/>
          <w:sz w:val="22"/>
          <w:szCs w:val="22"/>
        </w:rPr>
        <w:t xml:space="preserve">Local voluntary groups are often involved with looking after local paths and bridleways; now the summer is on its way, </w:t>
      </w:r>
      <w:r w:rsidR="00477BBD" w:rsidRPr="00477BBD">
        <w:rPr>
          <w:rFonts w:ascii="Calibri" w:hAnsi="Calibri"/>
          <w:sz w:val="22"/>
          <w:szCs w:val="22"/>
        </w:rPr>
        <w:t>what better time to get outside and get involved with local access projects</w:t>
      </w:r>
      <w:r w:rsidR="00477BBD">
        <w:rPr>
          <w:rFonts w:ascii="Calibri" w:hAnsi="Calibri"/>
          <w:sz w:val="22"/>
          <w:szCs w:val="22"/>
        </w:rPr>
        <w:t>, or just enjoy exploring our beautiful county</w:t>
      </w:r>
      <w:r w:rsidR="0059479D">
        <w:rPr>
          <w:rFonts w:ascii="Calibri" w:hAnsi="Calibri"/>
          <w:sz w:val="22"/>
          <w:szCs w:val="22"/>
        </w:rPr>
        <w:t>?</w:t>
      </w:r>
    </w:p>
    <w:p w:rsidR="007F06DF" w:rsidRPr="00477BBD" w:rsidRDefault="007F06DF" w:rsidP="007F06DF">
      <w:pPr>
        <w:pStyle w:val="NormalWeb"/>
        <w:spacing w:before="0" w:beforeAutospacing="0" w:after="80" w:afterAutospacing="0"/>
        <w:jc w:val="center"/>
        <w:rPr>
          <w:rFonts w:ascii="Calibri" w:hAnsi="Calibri"/>
        </w:rPr>
      </w:pPr>
    </w:p>
    <w:p w:rsidR="00E65147" w:rsidRDefault="009A08A9" w:rsidP="00E65147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But could we make better use of rights of way in Oxfordshire?  Some routes 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have challenging surfaces, stiles or </w:t>
      </w:r>
      <w:r w:rsidR="00DB5BCA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gates </w:t>
      </w:r>
      <w:r w:rsidR="00DB5BCA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and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many lack information and signage about points of interest and circular 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lastRenderedPageBreak/>
        <w:t xml:space="preserve">routes. </w:t>
      </w:r>
      <w:r w:rsidR="00477BBD">
        <w:rPr>
          <w:rFonts w:asciiTheme="minorHAnsi" w:eastAsiaTheme="minorEastAsia" w:hAnsiTheme="minorHAnsi" w:cstheme="minorBidi"/>
          <w:kern w:val="24"/>
          <w:sz w:val="22"/>
          <w:szCs w:val="22"/>
        </w:rPr>
        <w:t>T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he County Council </w:t>
      </w:r>
      <w:r w:rsidR="00551F49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is 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>responsib</w:t>
      </w:r>
      <w:r w:rsidR="00551F49">
        <w:rPr>
          <w:rFonts w:asciiTheme="minorHAnsi" w:eastAsiaTheme="minorEastAsia" w:hAnsiTheme="minorHAnsi" w:cstheme="minorBidi"/>
          <w:kern w:val="24"/>
          <w:sz w:val="22"/>
          <w:szCs w:val="22"/>
        </w:rPr>
        <w:t>le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for managing the rights of way network</w:t>
      </w:r>
      <w:r w:rsidR="001F0E07">
        <w:rPr>
          <w:rFonts w:asciiTheme="minorHAnsi" w:eastAsiaTheme="minorEastAsia" w:hAnsiTheme="minorHAnsi" w:cstheme="minorBidi"/>
          <w:kern w:val="24"/>
          <w:sz w:val="22"/>
          <w:szCs w:val="22"/>
        </w:rPr>
        <w:t>, doing so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by working with farmers and local communities</w:t>
      </w:r>
      <w:r w:rsidR="001F0E07">
        <w:rPr>
          <w:rFonts w:asciiTheme="minorHAnsi" w:eastAsiaTheme="minorEastAsia" w:hAnsiTheme="minorHAnsi" w:cstheme="minorBidi"/>
          <w:kern w:val="24"/>
          <w:sz w:val="22"/>
          <w:szCs w:val="22"/>
        </w:rPr>
        <w:t>.  But OCC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has limited funding and time to carry out improvements</w:t>
      </w:r>
      <w:r w:rsidR="00551F49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; </w:t>
      </w:r>
      <w:r w:rsidR="00DB5BCA">
        <w:rPr>
          <w:rFonts w:asciiTheme="minorHAnsi" w:eastAsiaTheme="minorEastAsia" w:hAnsiTheme="minorHAnsi" w:cstheme="minorBidi"/>
          <w:kern w:val="24"/>
          <w:sz w:val="22"/>
          <w:szCs w:val="22"/>
        </w:rPr>
        <w:t>this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is where TOE2 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and </w:t>
      </w:r>
      <w:r w:rsidR="001F0E07">
        <w:rPr>
          <w:rFonts w:asciiTheme="minorHAnsi" w:eastAsiaTheme="minorEastAsia" w:hAnsiTheme="minorHAnsi" w:cstheme="minorBidi"/>
          <w:kern w:val="24"/>
          <w:sz w:val="22"/>
          <w:szCs w:val="22"/>
        </w:rPr>
        <w:t>volunteers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can help</w:t>
      </w:r>
      <w:r w:rsid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.  </w:t>
      </w:r>
    </w:p>
    <w:p w:rsidR="00E65147" w:rsidRDefault="00E65147" w:rsidP="00E65147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4F0CA6" w:rsidRDefault="00E65147" w:rsidP="00E65147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kern w:val="24"/>
          <w:sz w:val="22"/>
          <w:szCs w:val="22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 wp14:anchorId="20F139C3" wp14:editId="6141A609">
            <wp:extent cx="2566321" cy="1981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 installing g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99" cy="198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47" w:rsidRDefault="00E65147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8C6720" w:rsidRPr="00477BBD" w:rsidRDefault="001F0E07" w:rsidP="00DB5BCA">
      <w:pPr>
        <w:pStyle w:val="NormalWeb"/>
        <w:spacing w:before="0" w:beforeAutospacing="0" w:after="80" w:afterAutospacing="0"/>
        <w:rPr>
          <w:rFonts w:ascii="Calibri" w:hAnsi="Calibri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TOE2 </w:t>
      </w:r>
      <w:r w:rsidR="00E27C52">
        <w:rPr>
          <w:rFonts w:asciiTheme="minorHAnsi" w:eastAsiaTheme="minorEastAsia" w:hAnsiTheme="minorHAnsi" w:cstheme="minorBidi"/>
          <w:kern w:val="24"/>
          <w:sz w:val="22"/>
          <w:szCs w:val="22"/>
        </w:rPr>
        <w:t>work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s</w:t>
      </w:r>
      <w:r w:rsidR="00E27C52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in partnership with OCC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, 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support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ing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communities to ensure better rights of way networks that are more accessible and easier to use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provid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ing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valuable links between and within settlements</w:t>
      </w:r>
      <w:r w:rsidR="009A08A9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. </w:t>
      </w:r>
      <w:r w:rsidR="004F0CA6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TOE2 is keen to 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support 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more 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l</w:t>
      </w:r>
      <w:r w:rsidR="008C6720" w:rsidRPr="00477BBD">
        <w:rPr>
          <w:rFonts w:ascii="Calibri" w:hAnsi="Calibri"/>
          <w:sz w:val="22"/>
          <w:szCs w:val="22"/>
        </w:rPr>
        <w:t xml:space="preserve">ocal </w:t>
      </w:r>
      <w:r w:rsidR="00BF01B8">
        <w:rPr>
          <w:rFonts w:ascii="Calibri" w:hAnsi="Calibri"/>
          <w:sz w:val="22"/>
          <w:szCs w:val="22"/>
        </w:rPr>
        <w:t xml:space="preserve">voluntary </w:t>
      </w:r>
      <w:r w:rsidR="008C6720" w:rsidRPr="00477BBD">
        <w:rPr>
          <w:rFonts w:ascii="Calibri" w:hAnsi="Calibri"/>
          <w:sz w:val="22"/>
          <w:szCs w:val="22"/>
        </w:rPr>
        <w:t xml:space="preserve">groups </w:t>
      </w:r>
      <w:r w:rsidR="0059479D">
        <w:rPr>
          <w:rFonts w:ascii="Calibri" w:hAnsi="Calibri"/>
          <w:sz w:val="22"/>
          <w:szCs w:val="22"/>
        </w:rPr>
        <w:t xml:space="preserve">to </w:t>
      </w:r>
      <w:r w:rsidR="008C6720" w:rsidRPr="00477BBD">
        <w:rPr>
          <w:rFonts w:ascii="Calibri" w:hAnsi="Calibri"/>
          <w:sz w:val="22"/>
          <w:szCs w:val="22"/>
        </w:rPr>
        <w:t>help maintain and improve Oxfordshire’s Rights of Way Network</w:t>
      </w:r>
      <w:r w:rsidR="006301EE">
        <w:rPr>
          <w:rFonts w:ascii="Calibri" w:hAnsi="Calibri"/>
          <w:sz w:val="22"/>
          <w:szCs w:val="22"/>
        </w:rPr>
        <w:t>,</w:t>
      </w:r>
      <w:r w:rsidR="0059479D">
        <w:rPr>
          <w:rFonts w:ascii="Calibri" w:hAnsi="Calibri"/>
          <w:sz w:val="22"/>
          <w:szCs w:val="22"/>
        </w:rPr>
        <w:t xml:space="preserve"> building on the </w:t>
      </w:r>
      <w:r w:rsidR="00DB5BCA">
        <w:rPr>
          <w:rFonts w:ascii="Calibri" w:hAnsi="Calibri"/>
          <w:sz w:val="22"/>
          <w:szCs w:val="22"/>
        </w:rPr>
        <w:t xml:space="preserve">excellent </w:t>
      </w:r>
      <w:r w:rsidR="0059479D">
        <w:rPr>
          <w:rFonts w:ascii="Calibri" w:hAnsi="Calibri"/>
          <w:sz w:val="22"/>
          <w:szCs w:val="22"/>
        </w:rPr>
        <w:t xml:space="preserve">work </w:t>
      </w:r>
      <w:r w:rsidR="00DB5BCA">
        <w:rPr>
          <w:rFonts w:ascii="Calibri" w:hAnsi="Calibri"/>
          <w:sz w:val="22"/>
          <w:szCs w:val="22"/>
        </w:rPr>
        <w:t>of</w:t>
      </w:r>
      <w:r w:rsidR="0059479D">
        <w:rPr>
          <w:rFonts w:ascii="Calibri" w:hAnsi="Calibri"/>
          <w:sz w:val="22"/>
          <w:szCs w:val="22"/>
        </w:rPr>
        <w:t xml:space="preserve"> existing groups </w:t>
      </w:r>
      <w:r w:rsidR="00DB5BCA">
        <w:rPr>
          <w:rFonts w:ascii="Calibri" w:hAnsi="Calibri"/>
          <w:sz w:val="22"/>
          <w:szCs w:val="22"/>
        </w:rPr>
        <w:t xml:space="preserve">such as </w:t>
      </w:r>
      <w:r w:rsidR="0059479D">
        <w:rPr>
          <w:rFonts w:ascii="Calibri" w:hAnsi="Calibri"/>
          <w:sz w:val="22"/>
          <w:szCs w:val="22"/>
        </w:rPr>
        <w:t>the</w:t>
      </w:r>
      <w:r w:rsidR="008C6720" w:rsidRPr="00477BBD">
        <w:rPr>
          <w:rFonts w:ascii="Calibri" w:hAnsi="Calibri"/>
          <w:sz w:val="22"/>
          <w:szCs w:val="22"/>
        </w:rPr>
        <w:t xml:space="preserve"> South Chilterns Path Maintenance Volunteers, </w:t>
      </w:r>
      <w:r w:rsidR="00DB5BCA">
        <w:rPr>
          <w:rFonts w:ascii="Calibri" w:hAnsi="Calibri"/>
          <w:sz w:val="22"/>
          <w:szCs w:val="22"/>
        </w:rPr>
        <w:t xml:space="preserve">the </w:t>
      </w:r>
      <w:r w:rsidR="008C6720" w:rsidRPr="00477BBD">
        <w:rPr>
          <w:rFonts w:ascii="Calibri" w:hAnsi="Calibri"/>
          <w:sz w:val="22"/>
          <w:szCs w:val="22"/>
        </w:rPr>
        <w:t xml:space="preserve">Cotswold </w:t>
      </w:r>
      <w:r w:rsidR="0059479D">
        <w:rPr>
          <w:rFonts w:ascii="Calibri" w:hAnsi="Calibri"/>
          <w:sz w:val="22"/>
          <w:szCs w:val="22"/>
        </w:rPr>
        <w:t>Voluntary W</w:t>
      </w:r>
      <w:r w:rsidR="008C6720" w:rsidRPr="00477BBD">
        <w:rPr>
          <w:rFonts w:ascii="Calibri" w:hAnsi="Calibri"/>
          <w:sz w:val="22"/>
          <w:szCs w:val="22"/>
        </w:rPr>
        <w:t>ardens,</w:t>
      </w:r>
      <w:r w:rsidR="0059479D">
        <w:rPr>
          <w:rFonts w:ascii="Calibri" w:hAnsi="Calibri"/>
          <w:sz w:val="22"/>
          <w:szCs w:val="22"/>
        </w:rPr>
        <w:t xml:space="preserve"> and the Ramblers</w:t>
      </w:r>
      <w:r w:rsidR="008C6720" w:rsidRPr="00477BBD">
        <w:rPr>
          <w:rFonts w:ascii="Calibri" w:hAnsi="Calibri"/>
          <w:sz w:val="22"/>
          <w:szCs w:val="22"/>
        </w:rPr>
        <w:t xml:space="preserve"> Path </w:t>
      </w:r>
      <w:r w:rsidR="0059479D">
        <w:rPr>
          <w:rFonts w:ascii="Calibri" w:hAnsi="Calibri"/>
          <w:sz w:val="22"/>
          <w:szCs w:val="22"/>
        </w:rPr>
        <w:t xml:space="preserve">Works </w:t>
      </w:r>
      <w:r w:rsidR="008C6720" w:rsidRPr="00477BBD">
        <w:rPr>
          <w:rFonts w:ascii="Calibri" w:hAnsi="Calibri"/>
          <w:sz w:val="22"/>
          <w:szCs w:val="22"/>
        </w:rPr>
        <w:t>Volunteers</w:t>
      </w:r>
      <w:r w:rsidR="0059479D">
        <w:rPr>
          <w:rFonts w:ascii="Calibri" w:hAnsi="Calibri"/>
          <w:sz w:val="22"/>
          <w:szCs w:val="22"/>
        </w:rPr>
        <w:t>. Working alongside</w:t>
      </w:r>
      <w:r w:rsidR="008C6720" w:rsidRPr="00477BBD">
        <w:rPr>
          <w:rFonts w:ascii="Calibri" w:hAnsi="Calibri"/>
          <w:sz w:val="22"/>
          <w:szCs w:val="22"/>
        </w:rPr>
        <w:t xml:space="preserve"> Parish Councils</w:t>
      </w:r>
      <w:r w:rsidR="0059479D">
        <w:rPr>
          <w:rFonts w:ascii="Calibri" w:hAnsi="Calibri"/>
          <w:sz w:val="22"/>
          <w:szCs w:val="22"/>
        </w:rPr>
        <w:t xml:space="preserve"> and OCC </w:t>
      </w:r>
      <w:r w:rsidR="00DB5BCA">
        <w:rPr>
          <w:rFonts w:ascii="Calibri" w:hAnsi="Calibri"/>
          <w:sz w:val="22"/>
          <w:szCs w:val="22"/>
        </w:rPr>
        <w:t>such</w:t>
      </w:r>
      <w:r w:rsidR="0059479D">
        <w:rPr>
          <w:rFonts w:ascii="Calibri" w:hAnsi="Calibri"/>
          <w:sz w:val="22"/>
          <w:szCs w:val="22"/>
        </w:rPr>
        <w:t xml:space="preserve"> groups help</w:t>
      </w:r>
      <w:r w:rsidR="008C6720" w:rsidRPr="00477BBD">
        <w:rPr>
          <w:rFonts w:ascii="Calibri" w:hAnsi="Calibri"/>
          <w:sz w:val="22"/>
          <w:szCs w:val="22"/>
        </w:rPr>
        <w:t xml:space="preserve"> </w:t>
      </w:r>
      <w:r w:rsidR="00551F49">
        <w:rPr>
          <w:rFonts w:ascii="Calibri" w:hAnsi="Calibri"/>
          <w:sz w:val="22"/>
          <w:szCs w:val="22"/>
        </w:rPr>
        <w:t>ens</w:t>
      </w:r>
      <w:r w:rsidR="008C6720" w:rsidRPr="00477BBD">
        <w:rPr>
          <w:rFonts w:ascii="Calibri" w:hAnsi="Calibri"/>
          <w:sz w:val="22"/>
          <w:szCs w:val="22"/>
        </w:rPr>
        <w:t xml:space="preserve">ure that local people </w:t>
      </w:r>
      <w:r w:rsidR="00477BBD" w:rsidRPr="00477BBD">
        <w:rPr>
          <w:rFonts w:ascii="Calibri" w:hAnsi="Calibri"/>
          <w:sz w:val="22"/>
          <w:szCs w:val="22"/>
        </w:rPr>
        <w:t xml:space="preserve">can enjoy </w:t>
      </w:r>
      <w:r w:rsidR="00477BBD"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better connected paths and bridleways</w:t>
      </w:r>
      <w:r w:rsidR="007F06DF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to </w:t>
      </w:r>
      <w:r w:rsidR="008C6720" w:rsidRPr="00477BBD">
        <w:rPr>
          <w:rFonts w:ascii="Calibri" w:hAnsi="Calibri"/>
          <w:sz w:val="22"/>
          <w:szCs w:val="22"/>
        </w:rPr>
        <w:t xml:space="preserve">access </w:t>
      </w:r>
      <w:r w:rsidR="007F06DF">
        <w:rPr>
          <w:rFonts w:ascii="Calibri" w:hAnsi="Calibri"/>
          <w:sz w:val="22"/>
          <w:szCs w:val="22"/>
        </w:rPr>
        <w:t>local</w:t>
      </w:r>
      <w:r w:rsidR="008C6720" w:rsidRPr="00477BBD">
        <w:rPr>
          <w:rFonts w:ascii="Calibri" w:hAnsi="Calibri"/>
          <w:sz w:val="22"/>
          <w:szCs w:val="22"/>
        </w:rPr>
        <w:t xml:space="preserve"> green spaces. </w:t>
      </w:r>
    </w:p>
    <w:p w:rsidR="000E60EB" w:rsidRPr="00477BBD" w:rsidRDefault="000E60EB" w:rsidP="00DB5BCA">
      <w:pPr>
        <w:pStyle w:val="NormalWeb"/>
        <w:spacing w:before="0" w:beforeAutospacing="0" w:after="8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0CD7" w:rsidRPr="00477BBD" w:rsidRDefault="00700CD7" w:rsidP="00DB5BCA">
      <w:pPr>
        <w:pStyle w:val="NormalWeb"/>
        <w:spacing w:before="0" w:beforeAutospacing="0" w:after="8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77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is TOE2 and what are we doing for rights of way in Oxfordshire?</w:t>
      </w:r>
    </w:p>
    <w:p w:rsidR="00EB7BA0" w:rsidRPr="00477BBD" w:rsidRDefault="00700CD7" w:rsidP="00DB5BCA">
      <w:pPr>
        <w:pStyle w:val="NormalWeb"/>
        <w:spacing w:before="0" w:beforeAutospacing="0" w:after="80" w:afterAutospacing="0"/>
        <w:rPr>
          <w:rFonts w:asciiTheme="minorHAnsi" w:hAnsiTheme="minorHAnsi"/>
          <w:sz w:val="22"/>
          <w:szCs w:val="22"/>
        </w:rPr>
      </w:pPr>
      <w:r w:rsidRPr="00477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TOE2 is Oxfordshire’s independent environmental funder,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supporting projects that make real and lasting improvements to the environment and to the lives of local people.  TOE2</w:t>
      </w:r>
      <w:r w:rsidR="004F0CA6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,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a charity and a not-for-profit company</w:t>
      </w:r>
      <w:r w:rsidR="004F0CA6">
        <w:rPr>
          <w:rFonts w:asciiTheme="minorHAnsi" w:eastAsiaTheme="minorEastAsia" w:hAnsiTheme="minorHAnsi" w:cstheme="minorBidi"/>
          <w:kern w:val="24"/>
          <w:sz w:val="22"/>
          <w:szCs w:val="22"/>
        </w:rPr>
        <w:t>,</w:t>
      </w:r>
      <w:r w:rsidR="001F0E07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has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worked in partnership with OCC for several years to improve access to </w:t>
      </w:r>
      <w:r w:rsidR="0059479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rights of way and 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green spaces across </w:t>
      </w:r>
      <w:r w:rsidR="001F0E07">
        <w:rPr>
          <w:rFonts w:asciiTheme="minorHAnsi" w:eastAsiaTheme="minorEastAsia" w:hAnsiTheme="minorHAnsi" w:cstheme="minorBidi"/>
          <w:kern w:val="24"/>
          <w:sz w:val="22"/>
          <w:szCs w:val="22"/>
        </w:rPr>
        <w:t>the county</w:t>
      </w:r>
      <w:r w:rsidR="00DB5BCA">
        <w:rPr>
          <w:rFonts w:asciiTheme="minorHAnsi" w:eastAsiaTheme="minorEastAsia" w:hAnsiTheme="minorHAnsi" w:cstheme="minorBidi"/>
          <w:kern w:val="24"/>
          <w:sz w:val="22"/>
          <w:szCs w:val="22"/>
        </w:rPr>
        <w:t>, supporting</w:t>
      </w:r>
      <w:r w:rsidR="00595D79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the aims of the Oxfordshire Rights of Way Improvement Plan (</w:t>
      </w:r>
      <w:hyperlink r:id="rId9" w:history="1">
        <w:r w:rsidR="00EB7BA0" w:rsidRPr="00375854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www.oxfordshire.gov.uk/rowip</w:t>
        </w:r>
      </w:hyperlink>
      <w:r w:rsidR="00595D79">
        <w:rPr>
          <w:rFonts w:asciiTheme="minorHAnsi" w:eastAsiaTheme="minorEastAsia" w:hAnsiTheme="minorHAnsi" w:cstheme="minorBidi"/>
          <w:kern w:val="24"/>
          <w:sz w:val="22"/>
          <w:szCs w:val="22"/>
        </w:rPr>
        <w:t>)</w:t>
      </w:r>
      <w:r w:rsidR="00EB7BA0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.  </w:t>
      </w:r>
    </w:p>
    <w:p w:rsidR="00477BBD" w:rsidRDefault="00477BBD" w:rsidP="00DB5BCA">
      <w:pPr>
        <w:pStyle w:val="NormalWeb"/>
        <w:spacing w:before="0" w:beforeAutospacing="0" w:after="80" w:afterAutospacing="0"/>
        <w:rPr>
          <w:rFonts w:ascii="Calibri" w:hAnsi="Calibri"/>
          <w:sz w:val="22"/>
          <w:szCs w:val="22"/>
        </w:rPr>
      </w:pPr>
    </w:p>
    <w:p w:rsidR="009A08A9" w:rsidRPr="00477BBD" w:rsidRDefault="00477BBD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  <w:r w:rsidRPr="00477BBD">
        <w:rPr>
          <w:rFonts w:ascii="Calibri" w:hAnsi="Calibri"/>
          <w:sz w:val="22"/>
          <w:szCs w:val="22"/>
        </w:rPr>
        <w:t>TOE2 can provide grant funding to support local access projects so that local groups can get materials and possibly training.</w:t>
      </w:r>
      <w:r>
        <w:rPr>
          <w:rFonts w:ascii="Calibri" w:hAnsi="Calibri"/>
          <w:sz w:val="22"/>
          <w:szCs w:val="22"/>
        </w:rPr>
        <w:t xml:space="preserve">  </w:t>
      </w:r>
      <w:r w:rsidR="009A08A9" w:rsidRPr="00477BBD">
        <w:rPr>
          <w:rFonts w:asciiTheme="minorHAnsi" w:eastAsiaTheme="minorHAnsi" w:hAnsiTheme="minorHAnsi" w:cstheme="minorBidi"/>
          <w:sz w:val="22"/>
          <w:szCs w:val="22"/>
          <w:lang w:eastAsia="en-US"/>
        </w:rPr>
        <w:t>Since 2011 TOE2 has allocated about £200,000 to access projects across Oxfordshire</w:t>
      </w:r>
      <w:r w:rsidR="00EB7BA0">
        <w:rPr>
          <w:rFonts w:asciiTheme="minorHAnsi" w:eastAsiaTheme="minorHAnsi" w:hAnsiTheme="minorHAnsi" w:cstheme="minorBidi"/>
          <w:sz w:val="22"/>
          <w:szCs w:val="22"/>
          <w:lang w:eastAsia="en-US"/>
        </w:rPr>
        <w:t>, primarily with funding provided by Grundon Waste Management through the Landfill Communities Fund.  H</w:t>
      </w:r>
      <w:r w:rsidR="009A08A9" w:rsidRPr="00477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ere are a few examples of </w:t>
      </w:r>
      <w:r w:rsidR="00EB7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projects </w:t>
      </w:r>
      <w:r w:rsidR="009A08A9" w:rsidRPr="00477BBD">
        <w:rPr>
          <w:rFonts w:asciiTheme="minorHAnsi" w:eastAsiaTheme="minorHAnsi" w:hAnsiTheme="minorHAnsi" w:cstheme="minorBidi"/>
          <w:sz w:val="22"/>
          <w:szCs w:val="22"/>
          <w:lang w:eastAsia="en-US"/>
        </w:rPr>
        <w:t>we have funded:</w:t>
      </w:r>
    </w:p>
    <w:p w:rsidR="00700CD7" w:rsidRDefault="00700CD7" w:rsidP="00AE078F">
      <w:pPr>
        <w:numPr>
          <w:ilvl w:val="0"/>
          <w:numId w:val="1"/>
        </w:numPr>
        <w:spacing w:after="80" w:line="240" w:lineRule="auto"/>
      </w:pPr>
      <w:r w:rsidRPr="00477BBD">
        <w:t xml:space="preserve">South Chilterns Path Maintenance Volunteers – several </w:t>
      </w:r>
      <w:r w:rsidR="0059479D">
        <w:t xml:space="preserve">significant </w:t>
      </w:r>
      <w:r w:rsidRPr="00477BBD">
        <w:t>projects across the southern Chilterns to improve access through replacing stiles with gates.</w:t>
      </w:r>
      <w:r w:rsidR="0059479D">
        <w:t xml:space="preserve"> Projects often link to pubs and </w:t>
      </w:r>
      <w:r w:rsidR="00DB5BCA">
        <w:t xml:space="preserve">other </w:t>
      </w:r>
      <w:r w:rsidR="0059479D">
        <w:t xml:space="preserve">village facilities and </w:t>
      </w:r>
      <w:r w:rsidR="00DB5BCA">
        <w:t>usually</w:t>
      </w:r>
      <w:r w:rsidR="0059479D">
        <w:t xml:space="preserve"> improve a number of stretches of rights of way o</w:t>
      </w:r>
      <w:r w:rsidR="00C31F31">
        <w:t>r e</w:t>
      </w:r>
      <w:r w:rsidR="0059479D">
        <w:t xml:space="preserve">ven </w:t>
      </w:r>
      <w:r w:rsidR="00C31F31">
        <w:t xml:space="preserve">whole </w:t>
      </w:r>
      <w:r w:rsidR="0059479D">
        <w:t>routes</w:t>
      </w:r>
      <w:r w:rsidR="00446AB8">
        <w:t xml:space="preserve"> </w:t>
      </w:r>
      <w:r w:rsidR="00AE078F">
        <w:t>(</w:t>
      </w:r>
      <w:hyperlink r:id="rId10" w:history="1">
        <w:r w:rsidR="00AE078F" w:rsidRPr="006C0638">
          <w:rPr>
            <w:rStyle w:val="Hyperlink"/>
          </w:rPr>
          <w:t>https://chilternsociety.org.uk/path-maintenance/</w:t>
        </w:r>
      </w:hyperlink>
      <w:r w:rsidR="00AE078F">
        <w:t>)</w:t>
      </w:r>
    </w:p>
    <w:p w:rsidR="009A08A9" w:rsidRDefault="009A08A9" w:rsidP="00446AB8">
      <w:pPr>
        <w:numPr>
          <w:ilvl w:val="0"/>
          <w:numId w:val="1"/>
        </w:numPr>
        <w:spacing w:after="80" w:line="240" w:lineRule="auto"/>
      </w:pPr>
      <w:r w:rsidRPr="00477BBD">
        <w:t>A grant of £5,000 supported path surface improvements between Benson and Wallingford, a very well used section of the</w:t>
      </w:r>
      <w:r w:rsidR="00C31F31">
        <w:t xml:space="preserve"> Thames Path </w:t>
      </w:r>
      <w:r w:rsidR="00DB5BCA">
        <w:t xml:space="preserve">National </w:t>
      </w:r>
      <w:r w:rsidR="00DB5BCA" w:rsidRPr="00477BBD">
        <w:t>T</w:t>
      </w:r>
      <w:r w:rsidRPr="00477BBD">
        <w:t>rail</w:t>
      </w:r>
      <w:r w:rsidR="00446AB8">
        <w:t xml:space="preserve"> (</w:t>
      </w:r>
      <w:hyperlink r:id="rId11" w:history="1">
        <w:r w:rsidR="00446AB8" w:rsidRPr="006C0638">
          <w:rPr>
            <w:rStyle w:val="Hyperlink"/>
          </w:rPr>
          <w:t>http://www.nationaltrail.co.uk/sites/default/files/tp_newsletter_autumn_2016.pdf</w:t>
        </w:r>
      </w:hyperlink>
      <w:r w:rsidR="00446AB8">
        <w:t>)</w:t>
      </w:r>
    </w:p>
    <w:p w:rsidR="009A08A9" w:rsidRDefault="009A08A9" w:rsidP="00916660">
      <w:pPr>
        <w:numPr>
          <w:ilvl w:val="0"/>
          <w:numId w:val="1"/>
        </w:numPr>
        <w:spacing w:after="80" w:line="240" w:lineRule="auto"/>
      </w:pPr>
      <w:r w:rsidRPr="00477BBD">
        <w:t xml:space="preserve">The Oxford Preservation Trust has recently carried out a range of access improvements over a stretch of open countryside on Boars Hill </w:t>
      </w:r>
      <w:r w:rsidR="00DB5BCA">
        <w:t>providing valuable access to green space on the edge of the city</w:t>
      </w:r>
      <w:r w:rsidR="00916660">
        <w:t xml:space="preserve"> (</w:t>
      </w:r>
      <w:hyperlink r:id="rId12" w:history="1">
        <w:r w:rsidR="00446AB8" w:rsidRPr="006C0638">
          <w:rPr>
            <w:rStyle w:val="Hyperlink"/>
          </w:rPr>
          <w:t>http://www.oxfordpreservation.org.uk/sites/www.oxfordpreservation.org.uk/files/Dreaming%20Spires%20walk.pdf</w:t>
        </w:r>
      </w:hyperlink>
      <w:r w:rsidR="00446AB8">
        <w:t>)</w:t>
      </w:r>
    </w:p>
    <w:p w:rsidR="009A08A9" w:rsidRDefault="00700CD7" w:rsidP="00446AB8">
      <w:pPr>
        <w:numPr>
          <w:ilvl w:val="0"/>
          <w:numId w:val="1"/>
        </w:numPr>
        <w:spacing w:after="80" w:line="240" w:lineRule="auto"/>
      </w:pPr>
      <w:r w:rsidRPr="00477BBD">
        <w:lastRenderedPageBreak/>
        <w:t xml:space="preserve">Bloxham Parish Council - </w:t>
      </w:r>
      <w:r w:rsidR="009A08A9" w:rsidRPr="00477BBD">
        <w:t xml:space="preserve">The project created </w:t>
      </w:r>
      <w:r w:rsidRPr="00477BBD">
        <w:t xml:space="preserve">circular </w:t>
      </w:r>
      <w:r w:rsidR="009A08A9" w:rsidRPr="00477BBD">
        <w:t>walks of 4.5 miles and 1 mile,</w:t>
      </w:r>
      <w:r w:rsidR="00C31F31">
        <w:t xml:space="preserve"> including replacing stiles with gates. The route is</w:t>
      </w:r>
      <w:r w:rsidR="009A08A9" w:rsidRPr="00477BBD">
        <w:t xml:space="preserve"> now being enjoyed by the local community and </w:t>
      </w:r>
      <w:r w:rsidR="00DB5BCA">
        <w:t xml:space="preserve">is </w:t>
      </w:r>
      <w:r w:rsidR="009A08A9" w:rsidRPr="00477BBD">
        <w:t>used by the health walks organised through the local surgery</w:t>
      </w:r>
      <w:r w:rsidR="00446AB8">
        <w:t xml:space="preserve"> (</w:t>
      </w:r>
      <w:hyperlink r:id="rId13" w:history="1">
        <w:r w:rsidR="00446AB8" w:rsidRPr="006C0638">
          <w:rPr>
            <w:rStyle w:val="Hyperlink"/>
          </w:rPr>
          <w:t>http://www.bloxhamparishcouncil.co.uk/?page_id=1977</w:t>
        </w:r>
      </w:hyperlink>
      <w:r w:rsidR="00446AB8">
        <w:t>)</w:t>
      </w:r>
    </w:p>
    <w:p w:rsidR="00C31F31" w:rsidRDefault="00C31F31" w:rsidP="00446AB8">
      <w:pPr>
        <w:numPr>
          <w:ilvl w:val="0"/>
          <w:numId w:val="1"/>
        </w:numPr>
        <w:spacing w:after="80" w:line="240" w:lineRule="auto"/>
      </w:pPr>
      <w:r>
        <w:t>Aston Rowant Parish Council used TOE2 funding to create a more accessible  promoted ‘Discovery trail’ route  that gave access to the Aston Rowant NNR Talking Trail</w:t>
      </w:r>
      <w:r w:rsidR="00446AB8">
        <w:t xml:space="preserve"> (</w:t>
      </w:r>
      <w:hyperlink r:id="rId14" w:history="1">
        <w:r w:rsidR="00446AB8" w:rsidRPr="006C0638">
          <w:rPr>
            <w:rStyle w:val="Hyperlink"/>
          </w:rPr>
          <w:t>http://www.astonrowant.org.uk/Aston-Rowant-Discovery-Trail.pdf</w:t>
        </w:r>
      </w:hyperlink>
      <w:r w:rsidR="00446AB8">
        <w:t>)</w:t>
      </w:r>
    </w:p>
    <w:p w:rsidR="009A08A9" w:rsidRPr="00477BBD" w:rsidRDefault="009A08A9" w:rsidP="00D50A52">
      <w:pPr>
        <w:numPr>
          <w:ilvl w:val="0"/>
          <w:numId w:val="1"/>
        </w:numPr>
        <w:spacing w:after="80" w:line="240" w:lineRule="auto"/>
      </w:pPr>
      <w:r w:rsidRPr="00477BBD">
        <w:t xml:space="preserve">A partnership with Brakspear </w:t>
      </w:r>
      <w:r w:rsidR="00E27C52">
        <w:t xml:space="preserve">is </w:t>
      </w:r>
      <w:r w:rsidRPr="00477BBD">
        <w:t>involv</w:t>
      </w:r>
      <w:r w:rsidR="00E27C52">
        <w:t>ing</w:t>
      </w:r>
      <w:r w:rsidRPr="00477BBD">
        <w:t xml:space="preserve"> local volunteers in providing information to create circular routes from </w:t>
      </w:r>
      <w:r w:rsidR="007F06DF">
        <w:t xml:space="preserve">30 </w:t>
      </w:r>
      <w:r w:rsidRPr="00477BBD">
        <w:t>Brakspear pubs</w:t>
      </w:r>
      <w:r w:rsidR="00DB5BCA">
        <w:t xml:space="preserve"> (</w:t>
      </w:r>
      <w:hyperlink r:id="rId15" w:history="1">
        <w:r w:rsidR="00DB5BCA" w:rsidRPr="006C0638">
          <w:rPr>
            <w:rStyle w:val="Hyperlink"/>
          </w:rPr>
          <w:t>http://www.pub-trails.co.uk/</w:t>
        </w:r>
      </w:hyperlink>
      <w:r w:rsidR="00DB5BCA">
        <w:t>)</w:t>
      </w:r>
      <w:r w:rsidRPr="00477BBD">
        <w:t>.  In return Brakspear</w:t>
      </w:r>
      <w:r w:rsidR="00E27C52">
        <w:t xml:space="preserve"> is</w:t>
      </w:r>
      <w:r w:rsidRPr="00477BBD">
        <w:t xml:space="preserve"> provid</w:t>
      </w:r>
      <w:r w:rsidR="00E27C52">
        <w:t>ing</w:t>
      </w:r>
      <w:r w:rsidRPr="00477BBD">
        <w:t xml:space="preserve"> fund</w:t>
      </w:r>
      <w:r w:rsidR="002830D0">
        <w:t>ing</w:t>
      </w:r>
      <w:r w:rsidRPr="00477BBD">
        <w:t xml:space="preserve"> to </w:t>
      </w:r>
      <w:r w:rsidR="002830D0">
        <w:t>support additional grants for a</w:t>
      </w:r>
      <w:r w:rsidRPr="00477BBD">
        <w:t>ccess improvements.</w:t>
      </w:r>
      <w:r w:rsidR="00DB5BCA">
        <w:t xml:space="preserve">  TOE2 would welcome the opportunity to work with other corporate partners in this way. </w:t>
      </w:r>
    </w:p>
    <w:p w:rsidR="00D36503" w:rsidRPr="00477BBD" w:rsidRDefault="00D36503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9A08A9" w:rsidRPr="00477BBD" w:rsidRDefault="009A08A9" w:rsidP="00DB5BCA">
      <w:pPr>
        <w:pStyle w:val="NormalWeb"/>
        <w:spacing w:before="0" w:beforeAutospacing="0" w:after="80" w:afterAutospacing="0"/>
        <w:rPr>
          <w:rFonts w:asciiTheme="minorHAnsi" w:hAnsiTheme="minorHAnsi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TOE2 welcomes funding applications</w:t>
      </w: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from non-profit making organisations and groups including:</w:t>
      </w:r>
    </w:p>
    <w:p w:rsidR="009A08A9" w:rsidRPr="00477BBD" w:rsidRDefault="009A08A9" w:rsidP="00DB5BCA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Parish Councils</w:t>
      </w:r>
    </w:p>
    <w:p w:rsidR="009A08A9" w:rsidRPr="00477BBD" w:rsidRDefault="009A08A9" w:rsidP="00DB5BCA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Lo</w:t>
      </w:r>
      <w:r w:rsidR="00E27C52">
        <w:rPr>
          <w:rFonts w:asciiTheme="minorHAnsi" w:eastAsiaTheme="minorEastAsia" w:hAnsiTheme="minorHAnsi" w:cstheme="minorBidi"/>
          <w:kern w:val="24"/>
          <w:sz w:val="22"/>
          <w:szCs w:val="22"/>
        </w:rPr>
        <w:t>cal charities</w:t>
      </w:r>
    </w:p>
    <w:p w:rsidR="009A08A9" w:rsidRPr="00477BBD" w:rsidRDefault="009A08A9" w:rsidP="00DB5BCA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Environmental charities and groups</w:t>
      </w:r>
    </w:p>
    <w:p w:rsidR="009A08A9" w:rsidRPr="00477BBD" w:rsidRDefault="009A08A9" w:rsidP="00DB5BCA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 w:rsidRPr="00477BBD">
        <w:rPr>
          <w:rFonts w:asciiTheme="minorHAnsi" w:eastAsiaTheme="minorEastAsia" w:hAnsiTheme="minorHAnsi" w:cstheme="minorBidi"/>
          <w:kern w:val="24"/>
          <w:sz w:val="22"/>
          <w:szCs w:val="22"/>
        </w:rPr>
        <w:t>Other local voluntary groups</w:t>
      </w:r>
    </w:p>
    <w:p w:rsidR="00411610" w:rsidRDefault="00411610" w:rsidP="00DB5BCA">
      <w:pPr>
        <w:spacing w:after="80" w:line="240" w:lineRule="auto"/>
        <w:rPr>
          <w:b/>
        </w:rPr>
      </w:pPr>
    </w:p>
    <w:p w:rsidR="009A08A9" w:rsidRPr="00477BBD" w:rsidRDefault="009A08A9" w:rsidP="00DB5BCA">
      <w:pPr>
        <w:spacing w:after="80" w:line="240" w:lineRule="auto"/>
        <w:rPr>
          <w:b/>
        </w:rPr>
      </w:pPr>
      <w:r w:rsidRPr="00477BBD">
        <w:rPr>
          <w:b/>
        </w:rPr>
        <w:t>What sorts of projects would we like to fund?</w:t>
      </w:r>
    </w:p>
    <w:p w:rsidR="009A08A9" w:rsidRPr="00477BBD" w:rsidRDefault="009A08A9" w:rsidP="00DB5BCA">
      <w:pPr>
        <w:numPr>
          <w:ilvl w:val="0"/>
          <w:numId w:val="1"/>
        </w:numPr>
        <w:spacing w:after="80" w:line="240" w:lineRule="auto"/>
      </w:pPr>
      <w:r w:rsidRPr="00477BBD">
        <w:t>More support for strategic routes</w:t>
      </w:r>
      <w:r w:rsidR="000C41EA">
        <w:t xml:space="preserve"> and for links to these routes</w:t>
      </w:r>
      <w:r w:rsidRPr="00477BBD">
        <w:t xml:space="preserve">, </w:t>
      </w:r>
      <w:proofErr w:type="spellStart"/>
      <w:r w:rsidRPr="00477BBD">
        <w:t>eg</w:t>
      </w:r>
      <w:proofErr w:type="spellEnd"/>
      <w:r w:rsidRPr="00477BBD">
        <w:t xml:space="preserve">; </w:t>
      </w:r>
      <w:r w:rsidR="00595D79">
        <w:t xml:space="preserve">National Trail links, </w:t>
      </w:r>
      <w:r w:rsidRPr="00477BBD">
        <w:t>the Oxfordshire Way</w:t>
      </w:r>
      <w:r w:rsidR="00595D79">
        <w:t>, longer riding routes</w:t>
      </w:r>
    </w:p>
    <w:p w:rsidR="009A08A9" w:rsidRPr="00477BBD" w:rsidRDefault="009A08A9" w:rsidP="00DB5BCA">
      <w:pPr>
        <w:numPr>
          <w:ilvl w:val="0"/>
          <w:numId w:val="1"/>
        </w:numPr>
        <w:spacing w:after="80" w:line="240" w:lineRule="auto"/>
      </w:pPr>
      <w:r w:rsidRPr="00477BBD">
        <w:t xml:space="preserve">Better links with the health agenda, </w:t>
      </w:r>
      <w:proofErr w:type="spellStart"/>
      <w:r w:rsidRPr="00477BBD">
        <w:t>eg</w:t>
      </w:r>
      <w:proofErr w:type="spellEnd"/>
      <w:r w:rsidRPr="00477BBD">
        <w:t>; Centre for Sustainable Healthcare</w:t>
      </w:r>
      <w:r w:rsidR="00595D79">
        <w:t>, trim trails and path exercise circuits</w:t>
      </w:r>
      <w:r w:rsidR="004361AD">
        <w:t>, access for people with disabilities</w:t>
      </w:r>
      <w:r w:rsidR="001F0E07">
        <w:t>, Green Health Routes</w:t>
      </w:r>
    </w:p>
    <w:p w:rsidR="009A08A9" w:rsidRPr="00477BBD" w:rsidRDefault="009A08A9" w:rsidP="00DB5BCA">
      <w:pPr>
        <w:numPr>
          <w:ilvl w:val="0"/>
          <w:numId w:val="1"/>
        </w:numPr>
        <w:spacing w:after="80" w:line="240" w:lineRule="auto"/>
      </w:pPr>
      <w:r w:rsidRPr="00477BBD">
        <w:t>More funding to support families wishing to access green spaces on foot or by bicycle</w:t>
      </w:r>
    </w:p>
    <w:p w:rsidR="009A08A9" w:rsidRPr="00477BBD" w:rsidRDefault="009A08A9" w:rsidP="00DB5BCA">
      <w:pPr>
        <w:numPr>
          <w:ilvl w:val="0"/>
          <w:numId w:val="1"/>
        </w:numPr>
        <w:spacing w:after="80" w:line="240" w:lineRule="auto"/>
      </w:pPr>
      <w:r w:rsidRPr="00477BBD">
        <w:t>Improving</w:t>
      </w:r>
      <w:r w:rsidR="004361AD">
        <w:t xml:space="preserve"> year round </w:t>
      </w:r>
      <w:r w:rsidRPr="00477BBD">
        <w:t>access for wheelchairs and pushchairs</w:t>
      </w:r>
    </w:p>
    <w:p w:rsidR="009A08A9" w:rsidRPr="00477BBD" w:rsidRDefault="009A08A9" w:rsidP="00DB5BCA">
      <w:pPr>
        <w:numPr>
          <w:ilvl w:val="0"/>
          <w:numId w:val="1"/>
        </w:numPr>
        <w:spacing w:after="80" w:line="240" w:lineRule="auto"/>
      </w:pPr>
      <w:r w:rsidRPr="00477BBD">
        <w:t>Projects that link biodiversity, education and access</w:t>
      </w:r>
    </w:p>
    <w:p w:rsidR="009A08A9" w:rsidRPr="00477BBD" w:rsidRDefault="009A08A9" w:rsidP="00DB5BCA">
      <w:pPr>
        <w:numPr>
          <w:ilvl w:val="0"/>
          <w:numId w:val="1"/>
        </w:numPr>
        <w:spacing w:after="80" w:line="240" w:lineRule="auto"/>
      </w:pPr>
      <w:r w:rsidRPr="00477BBD">
        <w:t xml:space="preserve">Supporting </w:t>
      </w:r>
      <w:r w:rsidR="00411610">
        <w:t xml:space="preserve">the establishment, training and work of groups of </w:t>
      </w:r>
      <w:r w:rsidRPr="00477BBD">
        <w:t>access volunteers</w:t>
      </w:r>
    </w:p>
    <w:p w:rsidR="00DB790A" w:rsidRDefault="00DB790A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7F06DF" w:rsidRPr="007F06DF" w:rsidRDefault="007F06DF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7F06DF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Are you interested in supporting access to green spaces in Oxfordshire? </w:t>
      </w:r>
    </w:p>
    <w:p w:rsidR="007F06DF" w:rsidRDefault="00A9380A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We</w:t>
      </w:r>
      <w:r w:rsidR="007F06DF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r w:rsidR="000C41EA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would love to hear from </w:t>
      </w:r>
      <w:r w:rsidR="007F06DF">
        <w:rPr>
          <w:rFonts w:asciiTheme="minorHAnsi" w:eastAsiaTheme="minorEastAsia" w:hAnsiTheme="minorHAnsi" w:cstheme="minorBidi"/>
          <w:kern w:val="24"/>
          <w:sz w:val="22"/>
          <w:szCs w:val="22"/>
        </w:rPr>
        <w:t>any local organisations or companies interested in supporting better access to green spaces in Oxfordshire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; TOE2 p</w:t>
      </w:r>
      <w:r w:rsidR="007F06DF">
        <w:rPr>
          <w:rFonts w:asciiTheme="minorHAnsi" w:eastAsiaTheme="minorEastAsia" w:hAnsiTheme="minorHAnsi" w:cstheme="minorBidi"/>
          <w:kern w:val="24"/>
          <w:sz w:val="22"/>
          <w:szCs w:val="22"/>
        </w:rPr>
        <w:t>rovide</w:t>
      </w:r>
      <w:r>
        <w:rPr>
          <w:rFonts w:asciiTheme="minorHAnsi" w:eastAsiaTheme="minorEastAsia" w:hAnsiTheme="minorHAnsi" w:cstheme="minorBidi"/>
          <w:kern w:val="24"/>
          <w:sz w:val="22"/>
          <w:szCs w:val="22"/>
        </w:rPr>
        <w:t>s</w:t>
      </w:r>
      <w:r w:rsidR="007F06DF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an effective mechanism for delivering funding to good local projects.</w:t>
      </w:r>
    </w:p>
    <w:p w:rsidR="007F06DF" w:rsidRDefault="007F06DF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0275F6" w:rsidRDefault="000275F6" w:rsidP="007F06DF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0275F6" w:rsidRDefault="000275F6" w:rsidP="007F06DF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7F06DF" w:rsidRPr="000275F6" w:rsidRDefault="007F06DF" w:rsidP="007F06DF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0275F6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For further information about TOE2:</w:t>
      </w:r>
    </w:p>
    <w:p w:rsidR="007F06DF" w:rsidRDefault="007F06DF" w:rsidP="007F06DF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p w:rsidR="004F0CA6" w:rsidRPr="00BF01B8" w:rsidRDefault="004F0CA6" w:rsidP="00BF01B8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BF01B8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Fiona Danks, Director, Trust for Oxfordshire’s Environment (TOE2)</w:t>
      </w:r>
    </w:p>
    <w:p w:rsidR="004F0CA6" w:rsidRPr="00BF01B8" w:rsidRDefault="004F0CA6" w:rsidP="00BF01B8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BF01B8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Earth Trust Centre, Little Wittenham, Abingdon, OX14 4QZ</w:t>
      </w:r>
    </w:p>
    <w:p w:rsidR="004F0CA6" w:rsidRPr="00BF01B8" w:rsidRDefault="00DC3B2C" w:rsidP="00BF01B8">
      <w:pPr>
        <w:pStyle w:val="NormalWeb"/>
        <w:spacing w:before="0" w:beforeAutospacing="0" w:after="80" w:afterAutospacing="0"/>
        <w:jc w:val="center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hyperlink r:id="rId16" w:history="1">
        <w:r w:rsidR="004F0CA6" w:rsidRPr="00BF01B8">
          <w:rPr>
            <w:rStyle w:val="Hyperlink"/>
            <w:rFonts w:asciiTheme="minorHAnsi" w:eastAsiaTheme="minorEastAsia" w:hAnsiTheme="minorHAnsi" w:cstheme="minorBidi"/>
            <w:b/>
            <w:kern w:val="24"/>
            <w:sz w:val="22"/>
            <w:szCs w:val="22"/>
          </w:rPr>
          <w:t>www.trustforoxfordshire.org.uk</w:t>
        </w:r>
      </w:hyperlink>
      <w:r w:rsidR="004F0CA6" w:rsidRPr="00BF01B8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  01865 407003 </w:t>
      </w:r>
      <w:hyperlink r:id="rId17" w:history="1">
        <w:r w:rsidR="004F0CA6" w:rsidRPr="00BF01B8">
          <w:rPr>
            <w:rStyle w:val="Hyperlink"/>
            <w:rFonts w:asciiTheme="minorHAnsi" w:eastAsiaTheme="minorEastAsia" w:hAnsiTheme="minorHAnsi" w:cstheme="minorBidi"/>
            <w:b/>
            <w:kern w:val="24"/>
            <w:sz w:val="22"/>
            <w:szCs w:val="22"/>
          </w:rPr>
          <w:t>fiona.danks@trustforoxfordshire.org.uk</w:t>
        </w:r>
      </w:hyperlink>
      <w:r w:rsidR="004F0CA6" w:rsidRPr="00BF01B8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 @toe2_oxon</w:t>
      </w:r>
    </w:p>
    <w:p w:rsidR="004F0CA6" w:rsidRDefault="004F0CA6" w:rsidP="00DB5BCA">
      <w:pPr>
        <w:pStyle w:val="NormalWeb"/>
        <w:spacing w:before="0" w:beforeAutospacing="0" w:after="80" w:afterAutospacing="0"/>
        <w:rPr>
          <w:rFonts w:asciiTheme="minorHAnsi" w:eastAsiaTheme="minorEastAsia" w:hAnsiTheme="minorHAnsi" w:cstheme="minorBidi"/>
          <w:kern w:val="24"/>
          <w:sz w:val="22"/>
          <w:szCs w:val="22"/>
        </w:rPr>
      </w:pPr>
    </w:p>
    <w:sectPr w:rsidR="004F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85"/>
    <w:multiLevelType w:val="hybridMultilevel"/>
    <w:tmpl w:val="B3E03302"/>
    <w:lvl w:ilvl="0" w:tplc="4116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6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AF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5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8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6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9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34AA3"/>
    <w:multiLevelType w:val="hybridMultilevel"/>
    <w:tmpl w:val="0246B04C"/>
    <w:lvl w:ilvl="0" w:tplc="08EED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0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A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B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6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6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82F28"/>
    <w:multiLevelType w:val="hybridMultilevel"/>
    <w:tmpl w:val="8B3260DE"/>
    <w:lvl w:ilvl="0" w:tplc="B5E2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D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8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6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8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42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03"/>
    <w:rsid w:val="000275F6"/>
    <w:rsid w:val="000C41EA"/>
    <w:rsid w:val="000E1E6F"/>
    <w:rsid w:val="000E60EB"/>
    <w:rsid w:val="001568C1"/>
    <w:rsid w:val="001675AC"/>
    <w:rsid w:val="001F0E07"/>
    <w:rsid w:val="002830D0"/>
    <w:rsid w:val="00316367"/>
    <w:rsid w:val="003539C3"/>
    <w:rsid w:val="00411610"/>
    <w:rsid w:val="004361AD"/>
    <w:rsid w:val="00446AB8"/>
    <w:rsid w:val="00477BBD"/>
    <w:rsid w:val="004F0CA6"/>
    <w:rsid w:val="00551F49"/>
    <w:rsid w:val="0059479D"/>
    <w:rsid w:val="00595D79"/>
    <w:rsid w:val="005B5B9D"/>
    <w:rsid w:val="006301EE"/>
    <w:rsid w:val="00700CD7"/>
    <w:rsid w:val="00782986"/>
    <w:rsid w:val="007F06DF"/>
    <w:rsid w:val="008C6720"/>
    <w:rsid w:val="00916660"/>
    <w:rsid w:val="009A08A9"/>
    <w:rsid w:val="00A9380A"/>
    <w:rsid w:val="00AE078F"/>
    <w:rsid w:val="00BA103B"/>
    <w:rsid w:val="00BF01B8"/>
    <w:rsid w:val="00C01BCB"/>
    <w:rsid w:val="00C31F31"/>
    <w:rsid w:val="00D36503"/>
    <w:rsid w:val="00DB5BCA"/>
    <w:rsid w:val="00DB790A"/>
    <w:rsid w:val="00DC3B2C"/>
    <w:rsid w:val="00E01153"/>
    <w:rsid w:val="00E27C52"/>
    <w:rsid w:val="00E65147"/>
    <w:rsid w:val="00EA1509"/>
    <w:rsid w:val="00EB7BA0"/>
    <w:rsid w:val="00EF2386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F526B-D859-4FDB-8AA4-AFCB975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6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loxhamparishcouncil.co.uk/?page_id=19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oxfordpreservation.org.uk/sites/www.oxfordpreservation.org.uk/files/Dreaming%20Spires%20walk.pdf" TargetMode="External"/><Relationship Id="rId17" Type="http://schemas.openxmlformats.org/officeDocument/2006/relationships/hyperlink" Target="mailto:fiona.danks@trustforoxfordshir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stforoxfordshire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ationaltrail.co.uk/sites/default/files/tp_newsletter_autumn_2016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ub-trails.co.uk/" TargetMode="External"/><Relationship Id="rId10" Type="http://schemas.openxmlformats.org/officeDocument/2006/relationships/hyperlink" Target="https://chilternsociety.org.uk/path-maintenan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.gov.uk/rowip" TargetMode="External"/><Relationship Id="rId14" Type="http://schemas.openxmlformats.org/officeDocument/2006/relationships/hyperlink" Target="http://www.astonrowant.org.uk/Aston-Rowant-Discovery-Tr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Danks</dc:creator>
  <cp:lastModifiedBy>Sue Hunt</cp:lastModifiedBy>
  <cp:revision>2</cp:revision>
  <cp:lastPrinted>2017-02-27T11:03:00Z</cp:lastPrinted>
  <dcterms:created xsi:type="dcterms:W3CDTF">2017-05-09T09:02:00Z</dcterms:created>
  <dcterms:modified xsi:type="dcterms:W3CDTF">2017-05-09T09:02:00Z</dcterms:modified>
</cp:coreProperties>
</file>